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sz w:val="28"/>
          <w:szCs w:val="28"/>
        </w:rPr>
      </w:pPr>
      <w:r>
        <w:rPr>
          <w:rFonts w:hint="eastAsia" w:ascii="仿宋" w:hAnsi="仿宋" w:eastAsia="仿宋"/>
          <w:sz w:val="28"/>
          <w:szCs w:val="28"/>
        </w:rPr>
        <w:t>附件：</w:t>
      </w:r>
    </w:p>
    <w:p>
      <w:pPr>
        <w:jc w:val="center"/>
        <w:rPr>
          <w:rFonts w:ascii="华文中宋" w:hAnsi="华文中宋" w:eastAsia="华文中宋"/>
          <w:sz w:val="32"/>
          <w:szCs w:val="32"/>
        </w:rPr>
      </w:pPr>
      <w:r>
        <w:rPr>
          <w:rFonts w:hint="eastAsia" w:ascii="华文中宋" w:hAnsi="华文中宋" w:eastAsia="华文中宋"/>
          <w:sz w:val="32"/>
          <w:szCs w:val="32"/>
        </w:rPr>
        <w:t>第一部分</w:t>
      </w:r>
      <w:r>
        <w:rPr>
          <w:rFonts w:ascii="华文中宋" w:hAnsi="华文中宋" w:eastAsia="华文中宋"/>
          <w:sz w:val="32"/>
          <w:szCs w:val="32"/>
        </w:rPr>
        <w:t xml:space="preserve"> </w:t>
      </w:r>
      <w:r>
        <w:rPr>
          <w:rFonts w:hint="eastAsia" w:ascii="华文中宋" w:hAnsi="华文中宋" w:eastAsia="华文中宋"/>
          <w:sz w:val="32"/>
          <w:szCs w:val="32"/>
        </w:rPr>
        <w:t>投标人须知</w:t>
      </w:r>
    </w:p>
    <w:p>
      <w:pPr>
        <w:ind w:firstLine="560" w:firstLineChars="200"/>
        <w:rPr>
          <w:rFonts w:ascii="仿宋_GB2312" w:eastAsia="仿宋_GB2312"/>
          <w:sz w:val="28"/>
          <w:szCs w:val="28"/>
        </w:rPr>
      </w:pPr>
    </w:p>
    <w:p>
      <w:pPr>
        <w:ind w:firstLine="560" w:firstLineChars="200"/>
        <w:rPr>
          <w:rFonts w:ascii="黑体" w:eastAsia="黑体"/>
          <w:sz w:val="28"/>
          <w:szCs w:val="28"/>
        </w:rPr>
      </w:pPr>
      <w:r>
        <w:rPr>
          <w:rFonts w:hint="eastAsia" w:ascii="黑体" w:eastAsia="黑体"/>
          <w:sz w:val="28"/>
          <w:szCs w:val="28"/>
        </w:rPr>
        <w:t>一、投标文件编写</w:t>
      </w:r>
    </w:p>
    <w:p>
      <w:pPr>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投标人应仔细阅读招标公告，了解招标公告的要求。在完全了解招标项目的要求以及条件后，再编制投标文件。投标人保证所提交的全部资料的真实性，并使投标对招标公告做出实质性响应。</w:t>
      </w:r>
    </w:p>
    <w:p>
      <w:pPr>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投标文件包含以下内容（格式详见第三部分内容）。</w:t>
      </w:r>
    </w:p>
    <w:p>
      <w:pPr>
        <w:ind w:firstLine="560" w:firstLineChars="200"/>
        <w:rPr>
          <w:rFonts w:ascii="仿宋" w:hAnsi="仿宋" w:eastAsia="仿宋"/>
          <w:sz w:val="28"/>
          <w:szCs w:val="28"/>
        </w:rPr>
      </w:pPr>
      <w:r>
        <w:rPr>
          <w:rFonts w:ascii="仿宋" w:hAnsi="仿宋" w:eastAsia="仿宋"/>
          <w:sz w:val="28"/>
          <w:szCs w:val="28"/>
        </w:rPr>
        <w:t xml:space="preserve">2.1 </w:t>
      </w:r>
      <w:r>
        <w:rPr>
          <w:rFonts w:hint="eastAsia" w:ascii="仿宋" w:hAnsi="仿宋" w:eastAsia="仿宋"/>
          <w:sz w:val="28"/>
          <w:szCs w:val="28"/>
        </w:rPr>
        <w:t>投标文件封面</w:t>
      </w:r>
    </w:p>
    <w:p>
      <w:pPr>
        <w:ind w:firstLine="560" w:firstLineChars="200"/>
        <w:rPr>
          <w:rFonts w:ascii="仿宋" w:hAnsi="仿宋" w:eastAsia="仿宋"/>
          <w:sz w:val="28"/>
          <w:szCs w:val="28"/>
        </w:rPr>
      </w:pPr>
      <w:r>
        <w:rPr>
          <w:rFonts w:ascii="仿宋" w:hAnsi="仿宋" w:eastAsia="仿宋"/>
          <w:sz w:val="28"/>
          <w:szCs w:val="28"/>
        </w:rPr>
        <w:t xml:space="preserve">2.2 </w:t>
      </w:r>
      <w:r>
        <w:rPr>
          <w:rFonts w:hint="eastAsia" w:ascii="仿宋" w:hAnsi="仿宋" w:eastAsia="仿宋"/>
          <w:sz w:val="28"/>
          <w:szCs w:val="28"/>
        </w:rPr>
        <w:t>投标函</w:t>
      </w:r>
    </w:p>
    <w:p>
      <w:pPr>
        <w:ind w:firstLine="560" w:firstLineChars="200"/>
        <w:rPr>
          <w:rFonts w:ascii="仿宋" w:hAnsi="仿宋" w:eastAsia="仿宋"/>
          <w:sz w:val="28"/>
          <w:szCs w:val="28"/>
        </w:rPr>
      </w:pPr>
      <w:r>
        <w:rPr>
          <w:rFonts w:ascii="仿宋" w:hAnsi="仿宋" w:eastAsia="仿宋"/>
          <w:sz w:val="28"/>
          <w:szCs w:val="28"/>
        </w:rPr>
        <w:t xml:space="preserve">2.3 </w:t>
      </w:r>
      <w:r>
        <w:rPr>
          <w:rFonts w:hint="eastAsia" w:ascii="仿宋" w:hAnsi="仿宋" w:eastAsia="仿宋"/>
          <w:sz w:val="28"/>
          <w:szCs w:val="28"/>
        </w:rPr>
        <w:t>法定代表人授权委托书</w:t>
      </w:r>
    </w:p>
    <w:p>
      <w:pPr>
        <w:ind w:firstLine="560" w:firstLineChars="200"/>
        <w:rPr>
          <w:rFonts w:ascii="仿宋" w:hAnsi="仿宋" w:eastAsia="仿宋"/>
          <w:sz w:val="28"/>
          <w:szCs w:val="28"/>
        </w:rPr>
      </w:pPr>
      <w:r>
        <w:rPr>
          <w:rFonts w:ascii="仿宋" w:hAnsi="仿宋" w:eastAsia="仿宋"/>
          <w:sz w:val="28"/>
          <w:szCs w:val="28"/>
        </w:rPr>
        <w:t xml:space="preserve">2.4 </w:t>
      </w:r>
      <w:r>
        <w:rPr>
          <w:rFonts w:hint="eastAsia" w:ascii="仿宋" w:hAnsi="仿宋" w:eastAsia="仿宋"/>
          <w:sz w:val="28"/>
          <w:szCs w:val="28"/>
        </w:rPr>
        <w:t>企业经营信誉及风险控制承诺书</w:t>
      </w:r>
    </w:p>
    <w:p>
      <w:pPr>
        <w:ind w:firstLine="560" w:firstLineChars="200"/>
        <w:rPr>
          <w:rFonts w:ascii="仿宋" w:hAnsi="仿宋" w:eastAsia="仿宋"/>
          <w:sz w:val="28"/>
          <w:szCs w:val="28"/>
        </w:rPr>
      </w:pPr>
      <w:r>
        <w:rPr>
          <w:rFonts w:hint="eastAsia" w:ascii="仿宋" w:hAnsi="仿宋" w:eastAsia="仿宋"/>
          <w:sz w:val="28"/>
          <w:szCs w:val="28"/>
        </w:rPr>
        <w:t>2.5开标一览表及相关附件</w:t>
      </w:r>
      <w:r>
        <w:rPr>
          <w:rFonts w:hint="eastAsia" w:ascii="仿宋" w:hAnsi="仿宋" w:eastAsia="仿宋"/>
          <w:b/>
          <w:bCs/>
          <w:sz w:val="28"/>
          <w:szCs w:val="28"/>
        </w:rPr>
        <w:t>（数据与监管机构不一致，每项扣</w:t>
      </w:r>
      <w:r>
        <w:rPr>
          <w:rFonts w:ascii="仿宋" w:hAnsi="仿宋" w:eastAsia="仿宋"/>
          <w:b/>
          <w:bCs/>
          <w:sz w:val="28"/>
          <w:szCs w:val="28"/>
        </w:rPr>
        <w:t>1</w:t>
      </w:r>
      <w:r>
        <w:rPr>
          <w:rFonts w:hint="eastAsia" w:ascii="仿宋" w:hAnsi="仿宋" w:eastAsia="仿宋"/>
          <w:b/>
          <w:bCs/>
          <w:sz w:val="28"/>
          <w:szCs w:val="28"/>
        </w:rPr>
        <w:t>分）</w:t>
      </w:r>
    </w:p>
    <w:p>
      <w:pPr>
        <w:ind w:firstLine="560" w:firstLineChars="200"/>
        <w:rPr>
          <w:rFonts w:ascii="仿宋" w:hAnsi="仿宋" w:eastAsia="仿宋"/>
          <w:b/>
          <w:bCs/>
          <w:sz w:val="28"/>
          <w:szCs w:val="28"/>
        </w:rPr>
      </w:pPr>
      <w:r>
        <w:rPr>
          <w:rFonts w:ascii="仿宋" w:hAnsi="仿宋" w:eastAsia="仿宋"/>
          <w:sz w:val="28"/>
          <w:szCs w:val="28"/>
        </w:rPr>
        <w:t>2.6</w:t>
      </w:r>
      <w:r>
        <w:rPr>
          <w:rFonts w:hint="eastAsia" w:ascii="仿宋" w:hAnsi="仿宋" w:eastAsia="仿宋"/>
          <w:sz w:val="28"/>
          <w:szCs w:val="28"/>
        </w:rPr>
        <w:t>投标人资格资料</w:t>
      </w:r>
    </w:p>
    <w:p>
      <w:pPr>
        <w:ind w:firstLine="560" w:firstLineChars="200"/>
        <w:rPr>
          <w:rFonts w:ascii="仿宋" w:hAnsi="仿宋" w:eastAsia="仿宋"/>
          <w:sz w:val="28"/>
          <w:szCs w:val="28"/>
        </w:rPr>
      </w:pPr>
      <w:r>
        <w:rPr>
          <w:rFonts w:ascii="仿宋" w:hAnsi="仿宋" w:eastAsia="仿宋"/>
          <w:sz w:val="28"/>
          <w:szCs w:val="28"/>
        </w:rPr>
        <w:t>2.7</w:t>
      </w:r>
      <w:r>
        <w:rPr>
          <w:rFonts w:hint="eastAsia" w:ascii="仿宋" w:hAnsi="仿宋" w:eastAsia="仿宋"/>
          <w:sz w:val="28"/>
          <w:szCs w:val="28"/>
        </w:rPr>
        <w:t>投标方案</w:t>
      </w:r>
    </w:p>
    <w:p>
      <w:pPr>
        <w:ind w:firstLine="562" w:firstLineChars="200"/>
        <w:rPr>
          <w:rFonts w:ascii="仿宋" w:hAnsi="仿宋" w:eastAsia="仿宋"/>
          <w:b/>
          <w:bCs/>
          <w:sz w:val="28"/>
          <w:szCs w:val="28"/>
        </w:rPr>
      </w:pPr>
      <w:r>
        <w:rPr>
          <w:rFonts w:hint="eastAsia" w:ascii="仿宋_GB2312" w:eastAsia="仿宋_GB2312"/>
          <w:b/>
          <w:bCs/>
          <w:sz w:val="28"/>
          <w:szCs w:val="28"/>
        </w:rPr>
        <w:t>首次参与</w:t>
      </w:r>
      <w:r>
        <w:rPr>
          <w:rFonts w:ascii="仿宋_GB2312" w:eastAsia="仿宋_GB2312"/>
          <w:b/>
          <w:bCs/>
          <w:sz w:val="28"/>
          <w:szCs w:val="28"/>
        </w:rPr>
        <w:t>20</w:t>
      </w:r>
      <w:r>
        <w:rPr>
          <w:rFonts w:hint="eastAsia" w:ascii="仿宋_GB2312" w:eastAsia="仿宋_GB2312"/>
          <w:b/>
          <w:bCs/>
          <w:sz w:val="28"/>
          <w:szCs w:val="28"/>
        </w:rPr>
        <w:t>2</w:t>
      </w:r>
      <w:r>
        <w:rPr>
          <w:rFonts w:ascii="仿宋_GB2312" w:eastAsia="仿宋_GB2312"/>
          <w:b/>
          <w:bCs/>
          <w:sz w:val="28"/>
          <w:szCs w:val="28"/>
        </w:rPr>
        <w:t>3</w:t>
      </w:r>
      <w:r>
        <w:rPr>
          <w:rFonts w:hint="eastAsia" w:ascii="仿宋_GB2312" w:eastAsia="仿宋_GB2312"/>
          <w:b/>
          <w:bCs/>
          <w:sz w:val="28"/>
          <w:szCs w:val="28"/>
        </w:rPr>
        <w:t>年青海省国库现金管理商业银行定期存款项目的投标人，需报送上述所有资料；已参与</w:t>
      </w:r>
      <w:r>
        <w:rPr>
          <w:rFonts w:ascii="仿宋_GB2312" w:eastAsia="仿宋_GB2312"/>
          <w:b/>
          <w:bCs/>
          <w:sz w:val="28"/>
          <w:szCs w:val="28"/>
        </w:rPr>
        <w:t>20</w:t>
      </w:r>
      <w:r>
        <w:rPr>
          <w:rFonts w:hint="eastAsia" w:ascii="仿宋_GB2312" w:eastAsia="仿宋_GB2312"/>
          <w:b/>
          <w:bCs/>
          <w:sz w:val="28"/>
          <w:szCs w:val="28"/>
        </w:rPr>
        <w:t>2</w:t>
      </w:r>
      <w:r>
        <w:rPr>
          <w:rFonts w:ascii="仿宋_GB2312" w:eastAsia="仿宋_GB2312"/>
          <w:b/>
          <w:bCs/>
          <w:sz w:val="28"/>
          <w:szCs w:val="28"/>
        </w:rPr>
        <w:t>3</w:t>
      </w:r>
      <w:r>
        <w:rPr>
          <w:rFonts w:hint="eastAsia" w:ascii="仿宋_GB2312" w:eastAsia="仿宋_GB2312"/>
          <w:b/>
          <w:bCs/>
          <w:sz w:val="28"/>
          <w:szCs w:val="28"/>
        </w:rPr>
        <w:t>年青海省国库现金管理商业银行定期存款项目的投标人，只报送（</w:t>
      </w:r>
      <w:r>
        <w:rPr>
          <w:rFonts w:ascii="仿宋_GB2312" w:eastAsia="仿宋_GB2312"/>
          <w:b/>
          <w:bCs/>
          <w:sz w:val="28"/>
          <w:szCs w:val="28"/>
        </w:rPr>
        <w:t>2.1</w:t>
      </w:r>
      <w:r>
        <w:rPr>
          <w:rFonts w:hint="eastAsia" w:ascii="仿宋_GB2312" w:eastAsia="仿宋_GB2312"/>
          <w:b/>
          <w:bCs/>
          <w:sz w:val="28"/>
          <w:szCs w:val="28"/>
        </w:rPr>
        <w:t>）-（</w:t>
      </w:r>
      <w:r>
        <w:rPr>
          <w:rFonts w:ascii="仿宋_GB2312" w:eastAsia="仿宋_GB2312"/>
          <w:b/>
          <w:bCs/>
          <w:sz w:val="28"/>
          <w:szCs w:val="28"/>
        </w:rPr>
        <w:t>2.6</w:t>
      </w:r>
      <w:r>
        <w:rPr>
          <w:rFonts w:hint="eastAsia" w:ascii="仿宋_GB2312" w:eastAsia="仿宋_GB2312"/>
          <w:b/>
          <w:bCs/>
          <w:sz w:val="28"/>
          <w:szCs w:val="28"/>
        </w:rPr>
        <w:t>）项有关资料。</w:t>
      </w:r>
    </w:p>
    <w:p>
      <w:pPr>
        <w:ind w:firstLine="560" w:firstLineChars="200"/>
        <w:rPr>
          <w:rFonts w:ascii="仿宋" w:hAnsi="仿宋" w:eastAsia="仿宋"/>
          <w:sz w:val="28"/>
          <w:szCs w:val="28"/>
        </w:rPr>
      </w:pPr>
      <w:r>
        <w:rPr>
          <w:rFonts w:hint="eastAsia" w:ascii="仿宋" w:hAnsi="仿宋" w:eastAsia="仿宋"/>
          <w:sz w:val="28"/>
          <w:szCs w:val="28"/>
        </w:rPr>
        <w:t>注：投标人须按上述内容、顺序和格式编制投标文件，并按要求编制目录、页码。</w:t>
      </w:r>
    </w:p>
    <w:p>
      <w:pPr>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．投标文件编制要求</w:t>
      </w:r>
    </w:p>
    <w:p>
      <w:pPr>
        <w:ind w:firstLine="560" w:firstLineChars="200"/>
        <w:rPr>
          <w:rFonts w:ascii="仿宋" w:hAnsi="仿宋" w:eastAsia="仿宋"/>
          <w:sz w:val="28"/>
          <w:szCs w:val="28"/>
        </w:rPr>
      </w:pPr>
      <w:r>
        <w:rPr>
          <w:rFonts w:ascii="仿宋" w:hAnsi="仿宋" w:eastAsia="仿宋"/>
          <w:sz w:val="28"/>
          <w:szCs w:val="28"/>
        </w:rPr>
        <w:t>3.1</w:t>
      </w:r>
      <w:r>
        <w:rPr>
          <w:rFonts w:hint="eastAsia" w:ascii="仿宋" w:hAnsi="仿宋" w:eastAsia="仿宋"/>
          <w:sz w:val="28"/>
          <w:szCs w:val="28"/>
        </w:rPr>
        <w:t>投标文件所有内容须装订成册，投标文件规格幅面（</w:t>
      </w:r>
      <w:r>
        <w:rPr>
          <w:rFonts w:ascii="仿宋" w:hAnsi="仿宋" w:eastAsia="仿宋"/>
          <w:sz w:val="28"/>
          <w:szCs w:val="28"/>
        </w:rPr>
        <w:t>A4</w:t>
      </w:r>
      <w:r>
        <w:rPr>
          <w:rFonts w:hint="eastAsia" w:ascii="仿宋" w:hAnsi="仿宋" w:eastAsia="仿宋"/>
          <w:sz w:val="28"/>
          <w:szCs w:val="28"/>
        </w:rPr>
        <w:t>），双面打印，按照招标公告所规定的内容顺序，统一编制目录、页码装订（投标文件中复印件及宣传资料等均须与投标文件正文一起逐页编排页码）。整个投标文件内容除签名、签字外，必须打印，不得手写。</w:t>
      </w:r>
    </w:p>
    <w:p>
      <w:pPr>
        <w:ind w:firstLine="560" w:firstLineChars="200"/>
        <w:rPr>
          <w:rFonts w:ascii="仿宋" w:hAnsi="仿宋" w:eastAsia="仿宋"/>
          <w:sz w:val="28"/>
          <w:szCs w:val="28"/>
        </w:rPr>
      </w:pPr>
      <w:r>
        <w:rPr>
          <w:rFonts w:ascii="仿宋" w:hAnsi="仿宋" w:eastAsia="仿宋"/>
          <w:sz w:val="28"/>
          <w:szCs w:val="28"/>
        </w:rPr>
        <w:t>3.2</w:t>
      </w:r>
      <w:r>
        <w:rPr>
          <w:rFonts w:hint="eastAsia" w:ascii="仿宋" w:hAnsi="仿宋" w:eastAsia="仿宋"/>
          <w:sz w:val="28"/>
          <w:szCs w:val="28"/>
        </w:rPr>
        <w:t>投标人不能投两个或两个以上有选择性的投标方案，否则为无效投标。</w:t>
      </w:r>
    </w:p>
    <w:p>
      <w:pPr>
        <w:ind w:firstLine="560" w:firstLineChars="200"/>
        <w:rPr>
          <w:rFonts w:ascii="黑体" w:eastAsia="黑体"/>
          <w:sz w:val="28"/>
          <w:szCs w:val="28"/>
        </w:rPr>
      </w:pPr>
      <w:r>
        <w:rPr>
          <w:rFonts w:hint="eastAsia" w:ascii="黑体" w:eastAsia="黑体"/>
          <w:sz w:val="28"/>
          <w:szCs w:val="28"/>
        </w:rPr>
        <w:t>二、投标文件的签署及密封</w:t>
      </w:r>
    </w:p>
    <w:p>
      <w:pPr>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投标文件应准备一份正本和五份副本，并注明“正本”或“副本”字样，一旦正本和副本有差异，以正本为准。密封袋标注的文件类别与其内装文件类别应一致。不符合上述要求的为无效投标。</w:t>
      </w:r>
    </w:p>
    <w:p>
      <w:pPr>
        <w:ind w:firstLine="560" w:firstLineChars="200"/>
        <w:rPr>
          <w:rFonts w:ascii="仿宋" w:hAnsi="仿宋" w:eastAsia="仿宋"/>
          <w:sz w:val="28"/>
          <w:szCs w:val="28"/>
        </w:rPr>
      </w:pPr>
      <w:r>
        <w:rPr>
          <w:rFonts w:hint="eastAsia" w:ascii="仿宋" w:hAnsi="仿宋" w:eastAsia="仿宋"/>
          <w:sz w:val="28"/>
          <w:szCs w:val="28"/>
        </w:rPr>
        <w:t>密封袋封面上标明投标人名称及投标项目名称，并加盖投标人公章。</w:t>
      </w:r>
    </w:p>
    <w:p>
      <w:pPr>
        <w:ind w:firstLine="560" w:firstLineChars="200"/>
        <w:rPr>
          <w:rFonts w:ascii="仿宋" w:hAnsi="仿宋" w:eastAsia="仿宋"/>
          <w:sz w:val="28"/>
          <w:szCs w:val="28"/>
        </w:rPr>
      </w:pPr>
      <w:r>
        <w:rPr>
          <w:rFonts w:hint="eastAsia" w:ascii="仿宋" w:hAnsi="仿宋" w:eastAsia="仿宋"/>
          <w:sz w:val="28"/>
          <w:szCs w:val="28"/>
        </w:rPr>
        <w:t>投标文件密封处应加盖单位公章或法定代表人（或委托代理人）签字并注明“开标前不得启封”的字样。</w:t>
      </w:r>
    </w:p>
    <w:p>
      <w:pPr>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投标文件正本的投标函由委托代理人签字，法定代表人授权委托书由法定代表人签字</w:t>
      </w:r>
      <w:r>
        <w:rPr>
          <w:rFonts w:hint="eastAsia" w:ascii="仿宋" w:hAnsi="仿宋" w:eastAsia="仿宋"/>
          <w:b/>
          <w:bCs/>
          <w:sz w:val="28"/>
          <w:szCs w:val="28"/>
        </w:rPr>
        <w:t>（必须本人签字，签章或盖章扣</w:t>
      </w:r>
      <w:r>
        <w:rPr>
          <w:rFonts w:ascii="仿宋" w:hAnsi="仿宋" w:eastAsia="仿宋"/>
          <w:b/>
          <w:bCs/>
          <w:sz w:val="28"/>
          <w:szCs w:val="28"/>
        </w:rPr>
        <w:t>1</w:t>
      </w:r>
      <w:r>
        <w:rPr>
          <w:rFonts w:hint="eastAsia" w:ascii="仿宋" w:hAnsi="仿宋" w:eastAsia="仿宋"/>
          <w:b/>
          <w:bCs/>
          <w:sz w:val="28"/>
          <w:szCs w:val="28"/>
        </w:rPr>
        <w:t>分）</w:t>
      </w:r>
      <w:r>
        <w:rPr>
          <w:rFonts w:hint="eastAsia" w:ascii="仿宋" w:hAnsi="仿宋" w:eastAsia="仿宋"/>
          <w:sz w:val="28"/>
          <w:szCs w:val="28"/>
        </w:rPr>
        <w:t>并加盖投标人公章。投标文件副本可复印，但应加盖公章。</w:t>
      </w:r>
    </w:p>
    <w:p>
      <w:pPr>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投标文件中不许随意涂改或改写。投标人如对所投文件错处作必要的修改时，修改部分需加盖单位公章。</w:t>
      </w:r>
    </w:p>
    <w:p>
      <w:pPr>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电报、电话、传真形式的投标概不接受。</w:t>
      </w:r>
    </w:p>
    <w:p>
      <w:pPr>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投标文件由投标人法定代表人或法定代表人授权的委托代理人按招标公告规定的时间和地址送至招标人。</w:t>
      </w:r>
    </w:p>
    <w:p>
      <w:pPr>
        <w:ind w:firstLine="560" w:firstLineChars="200"/>
        <w:rPr>
          <w:rFonts w:ascii="黑体" w:eastAsia="黑体"/>
          <w:sz w:val="28"/>
          <w:szCs w:val="28"/>
        </w:rPr>
      </w:pPr>
      <w:r>
        <w:rPr>
          <w:rFonts w:hint="eastAsia" w:ascii="黑体" w:eastAsia="黑体"/>
          <w:sz w:val="28"/>
          <w:szCs w:val="28"/>
        </w:rPr>
        <w:t>三、无效投标</w:t>
      </w:r>
    </w:p>
    <w:p>
      <w:pPr>
        <w:ind w:firstLine="560" w:firstLineChars="200"/>
        <w:rPr>
          <w:rFonts w:ascii="仿宋" w:hAnsi="仿宋" w:eastAsia="仿宋"/>
          <w:sz w:val="28"/>
          <w:szCs w:val="28"/>
        </w:rPr>
      </w:pPr>
      <w:r>
        <w:rPr>
          <w:rFonts w:hint="eastAsia" w:ascii="仿宋" w:hAnsi="仿宋" w:eastAsia="仿宋"/>
          <w:sz w:val="28"/>
          <w:szCs w:val="28"/>
        </w:rPr>
        <w:t>除上述已明确的无效投标条款外，有下列情况之一的亦为无效：</w:t>
      </w:r>
    </w:p>
    <w:p>
      <w:pPr>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未按招标公告规定时间递交投标文件；</w:t>
      </w:r>
    </w:p>
    <w:p>
      <w:pPr>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投标单位法定代表人既没有到开标现场，又没有委托代理人的或有代理人但无委托书；</w:t>
      </w:r>
    </w:p>
    <w:p>
      <w:pPr>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投标文件未对招标公告要求做出实质响应的；</w:t>
      </w:r>
    </w:p>
    <w:p>
      <w:pPr>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除规定的签字外，投标文件的内容如因手写不清楚，造成无法辨认或可能引起歧义；</w:t>
      </w:r>
    </w:p>
    <w:p>
      <w:pPr>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其它不符合法律法规或招标公告另有规定。</w:t>
      </w:r>
    </w:p>
    <w:p>
      <w:pPr>
        <w:ind w:firstLine="560" w:firstLineChars="200"/>
        <w:rPr>
          <w:rFonts w:ascii="黑体" w:eastAsia="黑体"/>
          <w:sz w:val="28"/>
          <w:szCs w:val="28"/>
        </w:rPr>
      </w:pPr>
      <w:r>
        <w:rPr>
          <w:rFonts w:hint="eastAsia" w:ascii="黑体" w:eastAsia="黑体"/>
          <w:sz w:val="28"/>
          <w:szCs w:val="28"/>
        </w:rPr>
        <w:t>四、投标有效期</w:t>
      </w:r>
    </w:p>
    <w:p>
      <w:pPr>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投标文件从开标之日起</w:t>
      </w:r>
      <w:r>
        <w:rPr>
          <w:rFonts w:ascii="仿宋" w:hAnsi="仿宋" w:eastAsia="仿宋"/>
          <w:sz w:val="28"/>
          <w:szCs w:val="28"/>
        </w:rPr>
        <w:t>,</w:t>
      </w:r>
      <w:r>
        <w:rPr>
          <w:rFonts w:hint="eastAsia" w:ascii="仿宋" w:hAnsi="仿宋" w:eastAsia="仿宋"/>
          <w:sz w:val="28"/>
          <w:szCs w:val="28"/>
        </w:rPr>
        <w:t>有效期为</w:t>
      </w:r>
      <w:r>
        <w:rPr>
          <w:rFonts w:ascii="仿宋" w:hAnsi="仿宋" w:eastAsia="仿宋"/>
          <w:sz w:val="28"/>
          <w:szCs w:val="28"/>
        </w:rPr>
        <w:t>90</w:t>
      </w:r>
      <w:r>
        <w:rPr>
          <w:rFonts w:hint="eastAsia" w:ascii="仿宋" w:hAnsi="仿宋" w:eastAsia="仿宋"/>
          <w:sz w:val="28"/>
          <w:szCs w:val="28"/>
        </w:rPr>
        <w:t>天。</w:t>
      </w:r>
    </w:p>
    <w:p>
      <w:pPr>
        <w:ind w:firstLine="560" w:firstLineChars="200"/>
        <w:rPr>
          <w:rFonts w:ascii="仿宋_GB2312" w:eastAsia="仿宋_GB2312"/>
          <w:sz w:val="28"/>
          <w:szCs w:val="28"/>
        </w:rPr>
      </w:pPr>
      <w:r>
        <w:rPr>
          <w:rFonts w:ascii="仿宋" w:hAnsi="仿宋" w:eastAsia="仿宋"/>
          <w:sz w:val="28"/>
          <w:szCs w:val="28"/>
        </w:rPr>
        <w:t>2.</w:t>
      </w:r>
      <w:r>
        <w:rPr>
          <w:rFonts w:hint="eastAsia" w:ascii="仿宋" w:hAnsi="仿宋" w:eastAsia="仿宋"/>
          <w:sz w:val="28"/>
          <w:szCs w:val="28"/>
        </w:rPr>
        <w:t>特殊情况下，招标人可于投标有效期满之前要求投标人同意延长有效期，要求与答复均为书面形式。投标人可以拒绝上述要求，对于同意要求的投标人，既不要求也不允许其修改投标文件。</w:t>
      </w:r>
    </w:p>
    <w:p>
      <w:pPr>
        <w:ind w:firstLine="560" w:firstLineChars="200"/>
        <w:rPr>
          <w:rFonts w:ascii="黑体" w:eastAsia="黑体"/>
          <w:sz w:val="28"/>
          <w:szCs w:val="28"/>
        </w:rPr>
      </w:pPr>
      <w:r>
        <w:rPr>
          <w:rFonts w:hint="eastAsia" w:ascii="黑体" w:eastAsia="黑体"/>
          <w:sz w:val="28"/>
          <w:szCs w:val="28"/>
        </w:rPr>
        <w:t>五、开标、评标时注意事项</w:t>
      </w:r>
    </w:p>
    <w:p>
      <w:pPr>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在投标、开标期间，投标人不得向评标小组询问情况，不得进行旨在影响评标结果的活动。</w:t>
      </w:r>
    </w:p>
    <w:p>
      <w:pPr>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在投标、评标过程中，如投标人存在不正当行为，招标人有权终止投标或评标。</w:t>
      </w:r>
    </w:p>
    <w:p>
      <w:pPr>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当合格投标人少于五家时，该项目招标终止。</w:t>
      </w:r>
    </w:p>
    <w:p>
      <w:pPr>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中标人应当按照代理协议约定履行义务和承担责任，完成中标项目；不得向他人转让中标项目，也不得将中标项目肢解后分别转让他人。</w:t>
      </w:r>
    </w:p>
    <w:p>
      <w:pPr>
        <w:widowControl/>
        <w:jc w:val="left"/>
        <w:rPr>
          <w:rFonts w:ascii="华文中宋" w:hAnsi="华文中宋" w:eastAsia="华文中宋"/>
          <w:sz w:val="32"/>
          <w:szCs w:val="32"/>
        </w:rPr>
      </w:pPr>
    </w:p>
    <w:p>
      <w:pPr>
        <w:jc w:val="center"/>
        <w:rPr>
          <w:rFonts w:ascii="华文中宋" w:hAnsi="华文中宋" w:eastAsia="华文中宋"/>
          <w:sz w:val="32"/>
          <w:szCs w:val="32"/>
        </w:rPr>
      </w:pPr>
      <w:r>
        <w:rPr>
          <w:rFonts w:hint="eastAsia" w:ascii="华文中宋" w:hAnsi="华文中宋" w:eastAsia="华文中宋"/>
          <w:sz w:val="32"/>
          <w:szCs w:val="32"/>
        </w:rPr>
        <w:t>第二部分</w:t>
      </w:r>
      <w:r>
        <w:rPr>
          <w:rFonts w:ascii="华文中宋" w:hAnsi="华文中宋" w:eastAsia="华文中宋"/>
          <w:sz w:val="32"/>
          <w:szCs w:val="32"/>
        </w:rPr>
        <w:t xml:space="preserve"> </w:t>
      </w:r>
      <w:r>
        <w:rPr>
          <w:rFonts w:hint="eastAsia" w:ascii="华文中宋" w:hAnsi="华文中宋" w:eastAsia="华文中宋"/>
          <w:sz w:val="32"/>
          <w:szCs w:val="32"/>
        </w:rPr>
        <w:t>招标人开标、评标及中标确定</w:t>
      </w:r>
    </w:p>
    <w:p>
      <w:pPr>
        <w:ind w:firstLine="560" w:firstLineChars="200"/>
        <w:rPr>
          <w:rFonts w:ascii="仿宋_GB2312" w:eastAsia="仿宋_GB2312"/>
          <w:sz w:val="28"/>
          <w:szCs w:val="28"/>
        </w:rPr>
      </w:pPr>
    </w:p>
    <w:p>
      <w:pPr>
        <w:ind w:firstLine="560" w:firstLineChars="200"/>
        <w:rPr>
          <w:rFonts w:ascii="黑体" w:eastAsia="黑体"/>
          <w:sz w:val="28"/>
          <w:szCs w:val="28"/>
        </w:rPr>
      </w:pPr>
      <w:r>
        <w:rPr>
          <w:rFonts w:hint="eastAsia" w:ascii="黑体" w:eastAsia="黑体"/>
          <w:sz w:val="28"/>
          <w:szCs w:val="28"/>
        </w:rPr>
        <w:t>一、开标和评标</w:t>
      </w:r>
    </w:p>
    <w:p>
      <w:pPr>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开标</w:t>
      </w:r>
    </w:p>
    <w:p>
      <w:pPr>
        <w:ind w:firstLine="560" w:firstLineChars="200"/>
        <w:rPr>
          <w:rFonts w:ascii="仿宋" w:hAnsi="仿宋" w:eastAsia="仿宋"/>
          <w:sz w:val="28"/>
          <w:szCs w:val="28"/>
        </w:rPr>
      </w:pPr>
      <w:r>
        <w:rPr>
          <w:rFonts w:ascii="仿宋" w:hAnsi="仿宋" w:eastAsia="仿宋"/>
          <w:sz w:val="28"/>
          <w:szCs w:val="28"/>
        </w:rPr>
        <w:t>1.1</w:t>
      </w:r>
      <w:r>
        <w:rPr>
          <w:rFonts w:hint="eastAsia" w:ascii="仿宋" w:hAnsi="仿宋" w:eastAsia="仿宋"/>
          <w:sz w:val="28"/>
          <w:szCs w:val="28"/>
        </w:rPr>
        <w:t>招标人根据招标公告规定的时间、地点，公开招标。</w:t>
      </w:r>
    </w:p>
    <w:p>
      <w:pPr>
        <w:ind w:firstLine="560" w:firstLineChars="200"/>
        <w:rPr>
          <w:rFonts w:ascii="仿宋" w:hAnsi="仿宋" w:eastAsia="仿宋"/>
          <w:sz w:val="28"/>
          <w:szCs w:val="28"/>
        </w:rPr>
      </w:pPr>
      <w:r>
        <w:rPr>
          <w:rFonts w:ascii="仿宋" w:hAnsi="仿宋" w:eastAsia="仿宋"/>
          <w:sz w:val="28"/>
          <w:szCs w:val="28"/>
        </w:rPr>
        <w:t>1.2</w:t>
      </w:r>
      <w:r>
        <w:rPr>
          <w:rFonts w:hint="eastAsia" w:ascii="仿宋" w:hAnsi="仿宋" w:eastAsia="仿宋"/>
          <w:sz w:val="28"/>
          <w:szCs w:val="28"/>
        </w:rPr>
        <w:t>开标前，由投标人代表查验投标文件密封情况，并现场拆封，核验无误后投标人签字离场。</w:t>
      </w:r>
    </w:p>
    <w:p>
      <w:pPr>
        <w:ind w:firstLine="560" w:firstLineChars="200"/>
        <w:rPr>
          <w:rFonts w:ascii="仿宋" w:hAnsi="仿宋" w:eastAsia="仿宋"/>
          <w:sz w:val="28"/>
          <w:szCs w:val="28"/>
        </w:rPr>
      </w:pPr>
      <w:r>
        <w:rPr>
          <w:rFonts w:ascii="仿宋" w:hAnsi="仿宋" w:eastAsia="仿宋"/>
          <w:sz w:val="28"/>
          <w:szCs w:val="28"/>
        </w:rPr>
        <w:t>1.3</w:t>
      </w:r>
      <w:r>
        <w:rPr>
          <w:rFonts w:hint="eastAsia" w:ascii="仿宋" w:hAnsi="仿宋" w:eastAsia="仿宋"/>
          <w:sz w:val="28"/>
          <w:szCs w:val="28"/>
        </w:rPr>
        <w:t>投标人签字离场后</w:t>
      </w:r>
      <w:r>
        <w:rPr>
          <w:rFonts w:ascii="仿宋" w:hAnsi="仿宋" w:eastAsia="仿宋"/>
          <w:sz w:val="28"/>
          <w:szCs w:val="28"/>
        </w:rPr>
        <w:t>,</w:t>
      </w:r>
      <w:r>
        <w:rPr>
          <w:rFonts w:hint="eastAsia" w:ascii="仿宋" w:hAnsi="仿宋" w:eastAsia="仿宋"/>
          <w:sz w:val="28"/>
          <w:szCs w:val="28"/>
        </w:rPr>
        <w:t>投标文件交评标小组评审。</w:t>
      </w:r>
    </w:p>
    <w:p>
      <w:pPr>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评标小组</w:t>
      </w:r>
    </w:p>
    <w:p>
      <w:pPr>
        <w:ind w:firstLine="560" w:firstLineChars="200"/>
        <w:rPr>
          <w:rFonts w:ascii="仿宋" w:hAnsi="仿宋" w:eastAsia="仿宋"/>
          <w:sz w:val="28"/>
          <w:szCs w:val="28"/>
        </w:rPr>
      </w:pPr>
      <w:r>
        <w:rPr>
          <w:rFonts w:ascii="仿宋" w:hAnsi="仿宋" w:eastAsia="仿宋"/>
          <w:sz w:val="28"/>
          <w:szCs w:val="28"/>
        </w:rPr>
        <w:t xml:space="preserve">2.1 </w:t>
      </w:r>
      <w:r>
        <w:rPr>
          <w:rFonts w:hint="eastAsia" w:ascii="仿宋" w:hAnsi="仿宋" w:eastAsia="仿宋"/>
          <w:sz w:val="28"/>
          <w:szCs w:val="28"/>
        </w:rPr>
        <w:t>评标小组成员由青海省财政厅（</w:t>
      </w:r>
      <w:r>
        <w:rPr>
          <w:rFonts w:ascii="仿宋" w:hAnsi="仿宋" w:eastAsia="仿宋"/>
          <w:sz w:val="28"/>
          <w:szCs w:val="28"/>
        </w:rPr>
        <w:t>2</w:t>
      </w:r>
      <w:r>
        <w:rPr>
          <w:rFonts w:hint="eastAsia" w:ascii="仿宋" w:hAnsi="仿宋" w:eastAsia="仿宋"/>
          <w:sz w:val="28"/>
          <w:szCs w:val="28"/>
        </w:rPr>
        <w:t>人）、中国人民银行西宁中心支行（</w:t>
      </w:r>
      <w:r>
        <w:rPr>
          <w:rFonts w:ascii="仿宋" w:hAnsi="仿宋" w:eastAsia="仿宋"/>
          <w:sz w:val="28"/>
          <w:szCs w:val="28"/>
        </w:rPr>
        <w:t>2</w:t>
      </w:r>
      <w:r>
        <w:rPr>
          <w:rFonts w:hint="eastAsia" w:ascii="仿宋" w:hAnsi="仿宋" w:eastAsia="仿宋"/>
          <w:sz w:val="28"/>
          <w:szCs w:val="28"/>
        </w:rPr>
        <w:t>人）、青海省地方金融监督管理局（</w:t>
      </w:r>
      <w:r>
        <w:rPr>
          <w:rFonts w:ascii="仿宋" w:hAnsi="仿宋" w:eastAsia="仿宋"/>
          <w:sz w:val="28"/>
          <w:szCs w:val="28"/>
        </w:rPr>
        <w:t>1</w:t>
      </w:r>
      <w:r>
        <w:rPr>
          <w:rFonts w:hint="eastAsia" w:ascii="仿宋" w:hAnsi="仿宋" w:eastAsia="仿宋"/>
          <w:sz w:val="28"/>
          <w:szCs w:val="28"/>
        </w:rPr>
        <w:t>人）派出人员构成，共5人。</w:t>
      </w:r>
    </w:p>
    <w:p>
      <w:pPr>
        <w:ind w:firstLine="560" w:firstLineChars="200"/>
        <w:rPr>
          <w:rFonts w:ascii="仿宋" w:hAnsi="仿宋" w:eastAsia="仿宋"/>
          <w:sz w:val="28"/>
          <w:szCs w:val="28"/>
        </w:rPr>
      </w:pPr>
      <w:r>
        <w:rPr>
          <w:rFonts w:ascii="仿宋" w:hAnsi="仿宋" w:eastAsia="仿宋"/>
          <w:sz w:val="28"/>
          <w:szCs w:val="28"/>
        </w:rPr>
        <w:t xml:space="preserve">2.2 </w:t>
      </w:r>
      <w:r>
        <w:rPr>
          <w:rFonts w:hint="eastAsia" w:ascii="仿宋" w:hAnsi="仿宋" w:eastAsia="仿宋"/>
          <w:sz w:val="28"/>
          <w:szCs w:val="28"/>
        </w:rPr>
        <w:t>评标小组成员名单在中标结果确定前保密。但在评标质询、澄清过程中投标人如发现评标小组中有需回避的人员，应及时向青海省财政厅提出该成员回避的书面申请。核实后确实符合回避条件的，应及时更换。</w:t>
      </w:r>
    </w:p>
    <w:p>
      <w:pPr>
        <w:ind w:firstLine="560" w:firstLineChars="200"/>
        <w:rPr>
          <w:rFonts w:ascii="仿宋" w:hAnsi="仿宋" w:eastAsia="仿宋"/>
          <w:sz w:val="28"/>
          <w:szCs w:val="28"/>
        </w:rPr>
      </w:pPr>
      <w:r>
        <w:rPr>
          <w:rFonts w:ascii="仿宋" w:hAnsi="仿宋" w:eastAsia="仿宋"/>
          <w:sz w:val="28"/>
          <w:szCs w:val="28"/>
        </w:rPr>
        <w:t>2.3</w:t>
      </w:r>
      <w:r>
        <w:rPr>
          <w:rFonts w:hint="eastAsia" w:ascii="仿宋" w:hAnsi="仿宋" w:eastAsia="仿宋"/>
          <w:sz w:val="28"/>
          <w:szCs w:val="28"/>
        </w:rPr>
        <w:t>评标小组必须按照公开、公平、公正的原则进行评标。</w:t>
      </w:r>
    </w:p>
    <w:p>
      <w:pPr>
        <w:ind w:firstLine="560" w:firstLineChars="200"/>
        <w:rPr>
          <w:rFonts w:ascii="仿宋" w:hAnsi="仿宋" w:eastAsia="仿宋"/>
          <w:sz w:val="28"/>
          <w:szCs w:val="28"/>
        </w:rPr>
      </w:pPr>
      <w:r>
        <w:rPr>
          <w:rFonts w:ascii="仿宋" w:hAnsi="仿宋" w:eastAsia="仿宋"/>
          <w:sz w:val="28"/>
          <w:szCs w:val="28"/>
        </w:rPr>
        <w:t>2.4</w:t>
      </w:r>
      <w:r>
        <w:rPr>
          <w:rFonts w:hint="eastAsia" w:ascii="仿宋" w:hAnsi="仿宋" w:eastAsia="仿宋"/>
          <w:sz w:val="28"/>
          <w:szCs w:val="28"/>
        </w:rPr>
        <w:t>评标是招标工作的重要环节，评标工作由评标小组依据招标公告、招标人提供的资料、投标文件进行。</w:t>
      </w:r>
    </w:p>
    <w:p>
      <w:pPr>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评标步骤</w:t>
      </w:r>
    </w:p>
    <w:p>
      <w:pPr>
        <w:ind w:firstLine="560" w:firstLineChars="200"/>
        <w:rPr>
          <w:rFonts w:ascii="仿宋" w:hAnsi="仿宋" w:eastAsia="仿宋"/>
          <w:sz w:val="28"/>
          <w:szCs w:val="28"/>
        </w:rPr>
      </w:pPr>
      <w:r>
        <w:rPr>
          <w:rFonts w:hint="eastAsia" w:ascii="仿宋" w:hAnsi="仿宋" w:eastAsia="仿宋"/>
          <w:sz w:val="28"/>
          <w:szCs w:val="28"/>
        </w:rPr>
        <w:t>评标依据是招标公告、投标文件及相关的法律法规。步骤为：</w:t>
      </w:r>
    </w:p>
    <w:p>
      <w:pPr>
        <w:ind w:firstLine="560" w:firstLineChars="200"/>
        <w:rPr>
          <w:rFonts w:ascii="仿宋" w:hAnsi="仿宋" w:eastAsia="仿宋"/>
          <w:sz w:val="28"/>
          <w:szCs w:val="28"/>
        </w:rPr>
      </w:pPr>
      <w:r>
        <w:rPr>
          <w:rFonts w:ascii="仿宋" w:hAnsi="仿宋" w:eastAsia="仿宋"/>
          <w:sz w:val="28"/>
          <w:szCs w:val="28"/>
        </w:rPr>
        <w:t>3.1</w:t>
      </w:r>
      <w:r>
        <w:rPr>
          <w:rFonts w:hint="eastAsia" w:ascii="仿宋" w:hAnsi="仿宋" w:eastAsia="仿宋"/>
          <w:sz w:val="28"/>
          <w:szCs w:val="28"/>
        </w:rPr>
        <w:t>资质评审。根据招标文件的规定，对各投标人的资质及必须达到的要求证明文件进行评审，对不符合招标文件要求的投标不再进入下一步的评审。</w:t>
      </w:r>
    </w:p>
    <w:p>
      <w:pPr>
        <w:ind w:firstLine="560" w:firstLineChars="200"/>
        <w:rPr>
          <w:rFonts w:ascii="仿宋" w:hAnsi="仿宋" w:eastAsia="仿宋"/>
          <w:sz w:val="28"/>
          <w:szCs w:val="28"/>
        </w:rPr>
      </w:pPr>
      <w:r>
        <w:rPr>
          <w:rFonts w:ascii="仿宋" w:hAnsi="仿宋" w:eastAsia="仿宋"/>
          <w:sz w:val="28"/>
          <w:szCs w:val="28"/>
        </w:rPr>
        <w:t>3.2</w:t>
      </w:r>
      <w:r>
        <w:rPr>
          <w:rFonts w:hint="eastAsia" w:ascii="仿宋" w:hAnsi="仿宋" w:eastAsia="仿宋"/>
          <w:sz w:val="28"/>
          <w:szCs w:val="28"/>
        </w:rPr>
        <w:t>标书评审。按照招标公告的规定，对所有有效投标人的投标文件进行评审、打分。</w:t>
      </w:r>
    </w:p>
    <w:p>
      <w:pPr>
        <w:ind w:firstLine="560" w:firstLineChars="200"/>
        <w:rPr>
          <w:rFonts w:ascii="仿宋" w:hAnsi="仿宋" w:eastAsia="仿宋"/>
          <w:sz w:val="28"/>
          <w:szCs w:val="28"/>
        </w:rPr>
      </w:pPr>
      <w:r>
        <w:rPr>
          <w:rFonts w:hint="eastAsia" w:ascii="仿宋" w:hAnsi="仿宋" w:eastAsia="仿宋"/>
          <w:sz w:val="28"/>
          <w:szCs w:val="28"/>
        </w:rPr>
        <w:t>说明：澄清有关问题。为助于对投标文件的审查、评估和比较，评标小组会对投标文件中含义不明确、同类问题表述不一致或有明显文字和计算错误的内容，可以书面形式要求投标人做出必要的澄清、说明或者纠正。投标人的澄清、说明或者纠正必须是书面形式，由其法定代表人或授权的委托代理人签字，并不得超出投标文件的范围或者投标文件的实质性内容。</w:t>
      </w:r>
      <w:r>
        <w:rPr>
          <w:rFonts w:ascii="仿宋" w:hAnsi="仿宋" w:eastAsia="仿宋"/>
          <w:sz w:val="28"/>
          <w:szCs w:val="28"/>
        </w:rPr>
        <w:t xml:space="preserve">  </w:t>
      </w:r>
    </w:p>
    <w:p>
      <w:pPr>
        <w:rPr>
          <w:rFonts w:ascii="仿宋" w:hAnsi="仿宋" w:eastAsia="仿宋"/>
          <w:sz w:val="28"/>
          <w:szCs w:val="28"/>
        </w:rPr>
      </w:pPr>
      <w:r>
        <w:rPr>
          <w:rFonts w:ascii="仿宋" w:hAnsi="仿宋" w:eastAsia="仿宋"/>
          <w:sz w:val="28"/>
          <w:szCs w:val="28"/>
        </w:rPr>
        <w:t xml:space="preserve">    </w:t>
      </w:r>
      <w:r>
        <w:rPr>
          <w:rFonts w:hint="eastAsia" w:ascii="黑体" w:eastAsia="黑体"/>
          <w:sz w:val="28"/>
          <w:szCs w:val="28"/>
        </w:rPr>
        <w:t>二、中标确定</w:t>
      </w:r>
    </w:p>
    <w:p>
      <w:pPr>
        <w:ind w:firstLine="280" w:firstLineChars="100"/>
        <w:rPr>
          <w:rFonts w:ascii="仿宋" w:hAnsi="仿宋" w:eastAsia="仿宋"/>
          <w:sz w:val="28"/>
          <w:szCs w:val="28"/>
        </w:rPr>
      </w:pPr>
      <w:r>
        <w:rPr>
          <w:rFonts w:ascii="仿宋" w:hAnsi="仿宋" w:eastAsia="仿宋"/>
          <w:sz w:val="28"/>
          <w:szCs w:val="28"/>
        </w:rPr>
        <w:t xml:space="preserve">  1.</w:t>
      </w:r>
      <w:r>
        <w:rPr>
          <w:rFonts w:hint="eastAsia" w:ascii="仿宋" w:hAnsi="仿宋" w:eastAsia="仿宋"/>
          <w:sz w:val="28"/>
          <w:szCs w:val="28"/>
        </w:rPr>
        <w:t>中标人确定</w:t>
      </w:r>
    </w:p>
    <w:p>
      <w:pPr>
        <w:ind w:firstLine="560" w:firstLineChars="200"/>
        <w:rPr>
          <w:rFonts w:ascii="仿宋" w:hAnsi="仿宋" w:eastAsia="仿宋"/>
          <w:sz w:val="28"/>
          <w:szCs w:val="28"/>
        </w:rPr>
      </w:pPr>
      <w:r>
        <w:rPr>
          <w:rFonts w:hint="eastAsia" w:ascii="仿宋" w:hAnsi="仿宋" w:eastAsia="仿宋"/>
          <w:sz w:val="28"/>
          <w:szCs w:val="28"/>
        </w:rPr>
        <w:t>在投标人综合评价指标得分基础上，扣除应扣减项后得到投标人最终分值，按照得分从高到低的顺序确定中标人。</w:t>
      </w:r>
    </w:p>
    <w:p>
      <w:pPr>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存储金额确定</w:t>
      </w:r>
    </w:p>
    <w:p>
      <w:pPr>
        <w:ind w:firstLine="560" w:firstLineChars="200"/>
        <w:rPr>
          <w:rFonts w:ascii="仿宋" w:hAnsi="仿宋" w:eastAsia="仿宋"/>
          <w:sz w:val="28"/>
          <w:szCs w:val="28"/>
        </w:rPr>
      </w:pPr>
      <w:r>
        <w:rPr>
          <w:rFonts w:hint="eastAsia" w:ascii="仿宋" w:hAnsi="仿宋" w:eastAsia="仿宋"/>
          <w:sz w:val="28"/>
          <w:szCs w:val="28"/>
        </w:rPr>
        <w:t>根据考核评价结果，按得分值由高到低确定名次，排名在</w:t>
      </w: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5</w:t>
      </w:r>
      <w:r>
        <w:rPr>
          <w:rFonts w:hint="eastAsia" w:ascii="仿宋" w:hAnsi="仿宋" w:eastAsia="仿宋"/>
          <w:sz w:val="28"/>
          <w:szCs w:val="28"/>
        </w:rPr>
        <w:t>位的资金分配总占比为</w:t>
      </w:r>
      <w:r>
        <w:rPr>
          <w:rFonts w:ascii="仿宋" w:hAnsi="仿宋" w:eastAsia="仿宋"/>
          <w:sz w:val="28"/>
          <w:szCs w:val="28"/>
        </w:rPr>
        <w:t>60%</w:t>
      </w:r>
      <w:r>
        <w:rPr>
          <w:rFonts w:hint="eastAsia" w:ascii="仿宋" w:hAnsi="仿宋" w:eastAsia="仿宋"/>
          <w:sz w:val="28"/>
          <w:szCs w:val="28"/>
        </w:rPr>
        <w:t>，第1名占</w:t>
      </w:r>
      <w:r>
        <w:rPr>
          <w:rFonts w:ascii="仿宋" w:hAnsi="仿宋" w:eastAsia="仿宋"/>
          <w:sz w:val="28"/>
          <w:szCs w:val="28"/>
        </w:rPr>
        <w:t>15%,</w:t>
      </w:r>
      <w:r>
        <w:rPr>
          <w:rFonts w:hint="eastAsia" w:ascii="仿宋" w:hAnsi="仿宋" w:eastAsia="仿宋"/>
          <w:sz w:val="28"/>
          <w:szCs w:val="28"/>
        </w:rPr>
        <w:t>依次递减</w:t>
      </w:r>
      <w:r>
        <w:rPr>
          <w:rFonts w:ascii="仿宋" w:hAnsi="仿宋" w:eastAsia="仿宋"/>
          <w:sz w:val="28"/>
          <w:szCs w:val="28"/>
        </w:rPr>
        <w:t>1.5%</w:t>
      </w:r>
      <w:r>
        <w:rPr>
          <w:rFonts w:hint="eastAsia" w:ascii="仿宋" w:hAnsi="仿宋" w:eastAsia="仿宋"/>
          <w:sz w:val="28"/>
          <w:szCs w:val="28"/>
        </w:rPr>
        <w:t>；排名在</w:t>
      </w:r>
      <w:r>
        <w:rPr>
          <w:rFonts w:ascii="仿宋" w:hAnsi="仿宋" w:eastAsia="仿宋"/>
          <w:sz w:val="28"/>
          <w:szCs w:val="28"/>
        </w:rPr>
        <w:t>6</w:t>
      </w:r>
      <w:r>
        <w:rPr>
          <w:rFonts w:hint="eastAsia" w:ascii="仿宋" w:hAnsi="仿宋" w:eastAsia="仿宋"/>
          <w:sz w:val="28"/>
          <w:szCs w:val="28"/>
        </w:rPr>
        <w:t>－</w:t>
      </w:r>
      <w:r>
        <w:rPr>
          <w:rFonts w:ascii="仿宋" w:hAnsi="仿宋" w:eastAsia="仿宋"/>
          <w:sz w:val="28"/>
          <w:szCs w:val="28"/>
        </w:rPr>
        <w:t>10</w:t>
      </w:r>
      <w:r>
        <w:rPr>
          <w:rFonts w:hint="eastAsia" w:ascii="仿宋" w:hAnsi="仿宋" w:eastAsia="仿宋"/>
          <w:sz w:val="28"/>
          <w:szCs w:val="28"/>
        </w:rPr>
        <w:t>位的资金分配总占比为</w:t>
      </w:r>
      <w:r>
        <w:rPr>
          <w:rFonts w:ascii="仿宋" w:hAnsi="仿宋" w:eastAsia="仿宋"/>
          <w:sz w:val="28"/>
          <w:szCs w:val="28"/>
        </w:rPr>
        <w:t>30%</w:t>
      </w:r>
      <w:r>
        <w:rPr>
          <w:rFonts w:hint="eastAsia" w:ascii="仿宋" w:hAnsi="仿宋" w:eastAsia="仿宋"/>
          <w:sz w:val="28"/>
          <w:szCs w:val="28"/>
        </w:rPr>
        <w:t>，第</w:t>
      </w:r>
      <w:r>
        <w:rPr>
          <w:rFonts w:ascii="仿宋" w:hAnsi="仿宋" w:eastAsia="仿宋"/>
          <w:sz w:val="28"/>
          <w:szCs w:val="28"/>
        </w:rPr>
        <w:t>6</w:t>
      </w:r>
      <w:r>
        <w:rPr>
          <w:rFonts w:hint="eastAsia" w:ascii="仿宋" w:hAnsi="仿宋" w:eastAsia="仿宋"/>
          <w:sz w:val="28"/>
          <w:szCs w:val="28"/>
        </w:rPr>
        <w:t>名占</w:t>
      </w:r>
      <w:r>
        <w:rPr>
          <w:rFonts w:ascii="仿宋" w:hAnsi="仿宋" w:eastAsia="仿宋"/>
          <w:sz w:val="28"/>
          <w:szCs w:val="28"/>
        </w:rPr>
        <w:t>8%</w:t>
      </w:r>
      <w:r>
        <w:rPr>
          <w:rFonts w:hint="eastAsia" w:ascii="仿宋" w:hAnsi="仿宋" w:eastAsia="仿宋"/>
          <w:sz w:val="28"/>
          <w:szCs w:val="28"/>
        </w:rPr>
        <w:t>，依次递减</w:t>
      </w:r>
      <w:r>
        <w:rPr>
          <w:rFonts w:ascii="仿宋" w:hAnsi="仿宋" w:eastAsia="仿宋"/>
          <w:sz w:val="28"/>
          <w:szCs w:val="28"/>
        </w:rPr>
        <w:t>1%</w:t>
      </w:r>
      <w:r>
        <w:rPr>
          <w:rFonts w:hint="eastAsia" w:ascii="仿宋" w:hAnsi="仿宋" w:eastAsia="仿宋"/>
          <w:sz w:val="28"/>
          <w:szCs w:val="28"/>
        </w:rPr>
        <w:t>；排名在</w:t>
      </w:r>
      <w:r>
        <w:rPr>
          <w:rFonts w:ascii="仿宋" w:hAnsi="仿宋" w:eastAsia="仿宋"/>
          <w:sz w:val="28"/>
          <w:szCs w:val="28"/>
        </w:rPr>
        <w:t>11</w:t>
      </w:r>
      <w:r>
        <w:rPr>
          <w:rFonts w:hint="eastAsia" w:ascii="仿宋" w:hAnsi="仿宋" w:eastAsia="仿宋"/>
          <w:sz w:val="28"/>
          <w:szCs w:val="28"/>
        </w:rPr>
        <w:t>位以后的资金分配总占比为</w:t>
      </w:r>
      <w:r>
        <w:rPr>
          <w:rFonts w:ascii="仿宋" w:hAnsi="仿宋" w:eastAsia="仿宋"/>
          <w:sz w:val="28"/>
          <w:szCs w:val="28"/>
        </w:rPr>
        <w:t>10%</w:t>
      </w:r>
      <w:r>
        <w:rPr>
          <w:rFonts w:hint="eastAsia" w:ascii="仿宋" w:hAnsi="仿宋" w:eastAsia="仿宋"/>
          <w:sz w:val="28"/>
          <w:szCs w:val="28"/>
        </w:rPr>
        <w:t>，在剩余几家银行中均分。若多家</w:t>
      </w:r>
      <w:r>
        <w:rPr>
          <w:rFonts w:ascii="仿宋" w:hAnsi="仿宋" w:eastAsia="仿宋"/>
          <w:sz w:val="28"/>
          <w:szCs w:val="28"/>
        </w:rPr>
        <w:t>银行</w:t>
      </w:r>
      <w:r>
        <w:rPr>
          <w:rFonts w:hint="eastAsia" w:ascii="仿宋" w:hAnsi="仿宋" w:eastAsia="仿宋"/>
          <w:sz w:val="28"/>
          <w:szCs w:val="28"/>
        </w:rPr>
        <w:t>得分相同</w:t>
      </w:r>
      <w:r>
        <w:rPr>
          <w:rFonts w:ascii="仿宋" w:hAnsi="仿宋" w:eastAsia="仿宋"/>
          <w:sz w:val="28"/>
          <w:szCs w:val="28"/>
        </w:rPr>
        <w:t>，</w:t>
      </w:r>
      <w:r>
        <w:rPr>
          <w:rFonts w:hint="eastAsia" w:ascii="仿宋" w:hAnsi="仿宋" w:eastAsia="仿宋"/>
          <w:sz w:val="28"/>
          <w:szCs w:val="28"/>
        </w:rPr>
        <w:t>则</w:t>
      </w:r>
      <w:r>
        <w:rPr>
          <w:rFonts w:ascii="仿宋" w:hAnsi="仿宋" w:eastAsia="仿宋"/>
          <w:sz w:val="28"/>
          <w:szCs w:val="28"/>
        </w:rPr>
        <w:t>按照</w:t>
      </w:r>
      <w:r>
        <w:rPr>
          <w:rFonts w:hint="eastAsia" w:ascii="仿宋" w:hAnsi="仿宋" w:eastAsia="仿宋"/>
          <w:sz w:val="28"/>
          <w:szCs w:val="28"/>
        </w:rPr>
        <w:t>上述资金</w:t>
      </w:r>
      <w:r>
        <w:rPr>
          <w:rFonts w:ascii="仿宋" w:hAnsi="仿宋" w:eastAsia="仿宋"/>
          <w:sz w:val="28"/>
          <w:szCs w:val="28"/>
        </w:rPr>
        <w:t>分配占比</w:t>
      </w:r>
      <w:r>
        <w:rPr>
          <w:rFonts w:hint="eastAsia" w:ascii="仿宋" w:hAnsi="仿宋" w:eastAsia="仿宋"/>
          <w:sz w:val="28"/>
          <w:szCs w:val="28"/>
        </w:rPr>
        <w:t>之和进行</w:t>
      </w:r>
      <w:r>
        <w:rPr>
          <w:rFonts w:ascii="仿宋" w:hAnsi="仿宋" w:eastAsia="仿宋"/>
          <w:sz w:val="28"/>
          <w:szCs w:val="28"/>
        </w:rPr>
        <w:t>均分。</w:t>
      </w:r>
    </w:p>
    <w:p>
      <w:pPr>
        <w:ind w:firstLine="560" w:firstLineChars="200"/>
        <w:rPr>
          <w:rFonts w:ascii="仿宋" w:hAnsi="仿宋" w:eastAsia="仿宋"/>
          <w:sz w:val="28"/>
          <w:szCs w:val="28"/>
        </w:rPr>
      </w:pPr>
      <w:r>
        <w:rPr>
          <w:rFonts w:hint="eastAsia" w:ascii="仿宋" w:hAnsi="仿宋" w:eastAsia="仿宋"/>
          <w:sz w:val="28"/>
          <w:szCs w:val="28"/>
        </w:rPr>
        <w:t>同时，按照《青海省省级国库现金管理实施细则》有关规定，单一投标人存款额度分配应符合下列程序和要求：</w:t>
      </w:r>
    </w:p>
    <w:p>
      <w:pPr>
        <w:ind w:firstLine="560" w:firstLineChars="200"/>
        <w:rPr>
          <w:rFonts w:ascii="仿宋" w:hAnsi="仿宋" w:eastAsia="仿宋"/>
          <w:sz w:val="28"/>
          <w:szCs w:val="28"/>
        </w:rPr>
      </w:pPr>
      <w:r>
        <w:rPr>
          <w:rFonts w:ascii="仿宋" w:hAnsi="仿宋" w:eastAsia="仿宋"/>
          <w:sz w:val="28"/>
          <w:szCs w:val="28"/>
        </w:rPr>
        <w:t>a</w:t>
      </w:r>
      <w:r>
        <w:rPr>
          <w:rFonts w:hint="eastAsia" w:ascii="仿宋" w:hAnsi="仿宋" w:eastAsia="仿宋"/>
          <w:sz w:val="28"/>
          <w:szCs w:val="28"/>
        </w:rPr>
        <w:t>）如某投标人通过综合评价确定的存款额度超过省级国库现金管理定期存款余额的</w:t>
      </w:r>
      <w:r>
        <w:rPr>
          <w:rFonts w:ascii="仿宋" w:hAnsi="仿宋" w:eastAsia="仿宋"/>
          <w:sz w:val="28"/>
          <w:szCs w:val="28"/>
        </w:rPr>
        <w:t>20%</w:t>
      </w:r>
      <w:r>
        <w:rPr>
          <w:rFonts w:hint="eastAsia" w:ascii="仿宋" w:hAnsi="仿宋" w:eastAsia="仿宋"/>
          <w:sz w:val="28"/>
          <w:szCs w:val="28"/>
        </w:rPr>
        <w:t>，超出的额度在其他投标人间按原规则重新分配。</w:t>
      </w:r>
    </w:p>
    <w:p>
      <w:pPr>
        <w:ind w:firstLine="560" w:firstLineChars="200"/>
        <w:rPr>
          <w:rFonts w:ascii="仿宋" w:hAnsi="仿宋" w:eastAsia="仿宋"/>
          <w:sz w:val="28"/>
          <w:szCs w:val="28"/>
        </w:rPr>
      </w:pPr>
      <w:r>
        <w:rPr>
          <w:rFonts w:ascii="仿宋" w:hAnsi="仿宋" w:eastAsia="仿宋"/>
          <w:sz w:val="28"/>
          <w:szCs w:val="28"/>
        </w:rPr>
        <w:t>b</w:t>
      </w:r>
      <w:r>
        <w:rPr>
          <w:rFonts w:hint="eastAsia" w:ascii="仿宋" w:hAnsi="仿宋" w:eastAsia="仿宋"/>
          <w:sz w:val="28"/>
          <w:szCs w:val="28"/>
        </w:rPr>
        <w:t>）如某投标人通过综合评价确定的存款额度超过其截至公告日一般性存款余额（来源于投标人报送资料）的</w:t>
      </w:r>
      <w:r>
        <w:rPr>
          <w:rFonts w:ascii="仿宋" w:hAnsi="仿宋" w:eastAsia="仿宋"/>
          <w:sz w:val="28"/>
          <w:szCs w:val="28"/>
        </w:rPr>
        <w:t>10%</w:t>
      </w:r>
      <w:r>
        <w:rPr>
          <w:rFonts w:hint="eastAsia" w:ascii="仿宋" w:hAnsi="仿宋" w:eastAsia="仿宋"/>
          <w:sz w:val="28"/>
          <w:szCs w:val="28"/>
        </w:rPr>
        <w:t>，则最多给予其一般性存款余额</w:t>
      </w:r>
      <w:r>
        <w:rPr>
          <w:rFonts w:ascii="仿宋" w:hAnsi="仿宋" w:eastAsia="仿宋"/>
          <w:sz w:val="28"/>
          <w:szCs w:val="28"/>
        </w:rPr>
        <w:t>10%</w:t>
      </w:r>
      <w:r>
        <w:rPr>
          <w:rFonts w:hint="eastAsia" w:ascii="仿宋" w:hAnsi="仿宋" w:eastAsia="仿宋"/>
          <w:sz w:val="28"/>
          <w:szCs w:val="28"/>
        </w:rPr>
        <w:t>的存款额度。超出的额度</w:t>
      </w:r>
      <w:r>
        <w:rPr>
          <w:rFonts w:ascii="仿宋" w:hAnsi="仿宋" w:eastAsia="仿宋"/>
          <w:sz w:val="28"/>
          <w:szCs w:val="28"/>
        </w:rPr>
        <w:t>,</w:t>
      </w:r>
      <w:r>
        <w:rPr>
          <w:rFonts w:hint="eastAsia" w:ascii="仿宋" w:hAnsi="仿宋" w:eastAsia="仿宋"/>
          <w:sz w:val="28"/>
          <w:szCs w:val="28"/>
        </w:rPr>
        <w:t>在其他投标人间按原规则重新分配。</w:t>
      </w:r>
    </w:p>
    <w:p>
      <w:pPr>
        <w:ind w:firstLine="560" w:firstLineChars="200"/>
        <w:rPr>
          <w:rFonts w:ascii="仿宋" w:hAnsi="仿宋" w:eastAsia="仿宋"/>
          <w:sz w:val="28"/>
          <w:szCs w:val="28"/>
        </w:rPr>
      </w:pPr>
      <w:r>
        <w:rPr>
          <w:rFonts w:hint="eastAsia" w:ascii="仿宋" w:hAnsi="仿宋" w:eastAsia="仿宋"/>
          <w:sz w:val="28"/>
          <w:szCs w:val="28"/>
        </w:rPr>
        <w:t>其他未尽事宜</w:t>
      </w:r>
      <w:r>
        <w:rPr>
          <w:rFonts w:ascii="仿宋" w:hAnsi="仿宋" w:eastAsia="仿宋"/>
          <w:sz w:val="28"/>
          <w:szCs w:val="28"/>
        </w:rPr>
        <w:t>，由评标小组</w:t>
      </w:r>
      <w:r>
        <w:rPr>
          <w:rFonts w:hint="eastAsia" w:ascii="仿宋" w:hAnsi="仿宋" w:eastAsia="仿宋"/>
          <w:sz w:val="28"/>
          <w:szCs w:val="28"/>
        </w:rPr>
        <w:t>成员共同协商确定</w:t>
      </w:r>
      <w:r>
        <w:rPr>
          <w:rFonts w:ascii="仿宋" w:hAnsi="仿宋" w:eastAsia="仿宋"/>
          <w:sz w:val="28"/>
          <w:szCs w:val="28"/>
        </w:rPr>
        <w:t xml:space="preserve">。      </w:t>
      </w:r>
    </w:p>
    <w:p>
      <w:pPr>
        <w:widowControl/>
        <w:jc w:val="center"/>
        <w:rPr>
          <w:rFonts w:ascii="宋体" w:hAnsi="宋体"/>
          <w:sz w:val="32"/>
          <w:szCs w:val="32"/>
        </w:rPr>
      </w:pPr>
      <w:r>
        <w:rPr>
          <w:rFonts w:ascii="华文中宋" w:hAnsi="华文中宋" w:eastAsia="华文中宋" w:cs="宋体"/>
          <w:b/>
          <w:bCs/>
          <w:color w:val="000000"/>
          <w:kern w:val="0"/>
          <w:sz w:val="32"/>
          <w:szCs w:val="32"/>
        </w:rPr>
        <w:br w:type="page"/>
      </w:r>
      <w:r>
        <w:rPr>
          <w:rFonts w:hint="eastAsia" w:ascii="宋体" w:hAnsi="宋体" w:cs="宋体"/>
          <w:b/>
          <w:bCs/>
          <w:color w:val="000000"/>
          <w:kern w:val="0"/>
          <w:sz w:val="32"/>
          <w:szCs w:val="32"/>
        </w:rPr>
        <w:t>青海省省级国库现金管理综合指标评价体系</w:t>
      </w:r>
    </w:p>
    <w:tbl>
      <w:tblPr>
        <w:tblStyle w:val="6"/>
        <w:tblW w:w="9215" w:type="dxa"/>
        <w:tblInd w:w="-31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108" w:type="dxa"/>
          <w:bottom w:w="0" w:type="dxa"/>
          <w:right w:w="108" w:type="dxa"/>
        </w:tblCellMar>
      </w:tblPr>
      <w:tblGrid>
        <w:gridCol w:w="993"/>
        <w:gridCol w:w="1276"/>
        <w:gridCol w:w="5344"/>
        <w:gridCol w:w="160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593" w:hRule="atLeast"/>
        </w:trPr>
        <w:tc>
          <w:tcPr>
            <w:tcW w:w="2269" w:type="dxa"/>
            <w:gridSpan w:val="2"/>
            <w:tcBorders>
              <w:tl2br w:val="nil"/>
              <w:tr2bl w:val="nil"/>
            </w:tcBorders>
            <w:shd w:val="clear" w:color="auto" w:fill="auto"/>
            <w:vAlign w:val="center"/>
          </w:tcPr>
          <w:p>
            <w:pPr>
              <w:widowControl/>
              <w:spacing w:line="400" w:lineRule="exact"/>
              <w:jc w:val="center"/>
              <w:rPr>
                <w:rFonts w:ascii="宋体" w:hAnsi="宋体" w:cs="宋体"/>
                <w:b/>
                <w:color w:val="000000"/>
                <w:kern w:val="0"/>
                <w:szCs w:val="21"/>
              </w:rPr>
            </w:pPr>
            <w:r>
              <w:rPr>
                <w:rFonts w:hint="eastAsia" w:ascii="宋体" w:hAnsi="宋体" w:cs="宋体"/>
                <w:b/>
                <w:color w:val="000000"/>
                <w:kern w:val="0"/>
                <w:szCs w:val="21"/>
              </w:rPr>
              <w:t>指标名称</w:t>
            </w:r>
          </w:p>
        </w:tc>
        <w:tc>
          <w:tcPr>
            <w:tcW w:w="5344" w:type="dxa"/>
            <w:tcBorders>
              <w:tl2br w:val="nil"/>
              <w:tr2bl w:val="nil"/>
            </w:tcBorders>
            <w:shd w:val="clear" w:color="auto" w:fill="auto"/>
            <w:vAlign w:val="center"/>
          </w:tcPr>
          <w:p>
            <w:pPr>
              <w:widowControl/>
              <w:spacing w:line="400" w:lineRule="exact"/>
              <w:jc w:val="center"/>
              <w:rPr>
                <w:rFonts w:ascii="宋体" w:hAnsi="宋体" w:cs="宋体"/>
                <w:b/>
                <w:color w:val="000000"/>
                <w:kern w:val="0"/>
                <w:szCs w:val="21"/>
              </w:rPr>
            </w:pPr>
            <w:r>
              <w:rPr>
                <w:rFonts w:hint="eastAsia" w:ascii="宋体" w:hAnsi="宋体" w:cs="宋体"/>
                <w:b/>
                <w:color w:val="000000"/>
                <w:kern w:val="0"/>
                <w:szCs w:val="21"/>
              </w:rPr>
              <w:t>评分方法（百分制）</w:t>
            </w:r>
          </w:p>
        </w:tc>
        <w:tc>
          <w:tcPr>
            <w:tcW w:w="1602" w:type="dxa"/>
            <w:tcBorders>
              <w:tl2br w:val="nil"/>
              <w:tr2bl w:val="nil"/>
            </w:tcBorders>
            <w:shd w:val="clear" w:color="auto" w:fill="auto"/>
            <w:vAlign w:val="center"/>
          </w:tcPr>
          <w:p>
            <w:pPr>
              <w:widowControl/>
              <w:spacing w:line="400" w:lineRule="exact"/>
              <w:jc w:val="center"/>
              <w:rPr>
                <w:rFonts w:ascii="宋体" w:hAnsi="宋体" w:cs="宋体"/>
                <w:b/>
                <w:color w:val="000000"/>
                <w:kern w:val="0"/>
                <w:szCs w:val="21"/>
              </w:rPr>
            </w:pPr>
            <w:r>
              <w:rPr>
                <w:rFonts w:hint="eastAsia" w:ascii="宋体" w:hAnsi="宋体" w:cs="宋体"/>
                <w:b/>
                <w:color w:val="000000"/>
                <w:kern w:val="0"/>
                <w:szCs w:val="21"/>
              </w:rPr>
              <w:t>指标信息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1435" w:hRule="atLeast"/>
        </w:trPr>
        <w:tc>
          <w:tcPr>
            <w:tcW w:w="993" w:type="dxa"/>
            <w:vMerge w:val="restart"/>
            <w:tcBorders>
              <w:tl2br w:val="nil"/>
              <w:tr2bl w:val="nil"/>
            </w:tcBorders>
            <w:shd w:val="clear" w:color="auto" w:fill="auto"/>
            <w:vAlign w:val="center"/>
          </w:tcPr>
          <w:p>
            <w:pPr>
              <w:widowControl/>
              <w:spacing w:line="40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安全性（</w:t>
            </w:r>
            <w:r>
              <w:rPr>
                <w:rFonts w:ascii="仿宋" w:hAnsi="仿宋" w:eastAsia="仿宋" w:cs="宋体"/>
                <w:bCs/>
                <w:color w:val="000000"/>
                <w:kern w:val="0"/>
                <w:szCs w:val="21"/>
              </w:rPr>
              <w:t>35</w:t>
            </w:r>
            <w:r>
              <w:rPr>
                <w:rFonts w:hint="eastAsia" w:ascii="仿宋" w:hAnsi="仿宋" w:eastAsia="仿宋" w:cs="宋体"/>
                <w:bCs/>
                <w:color w:val="000000"/>
                <w:kern w:val="0"/>
                <w:szCs w:val="21"/>
              </w:rPr>
              <w:t>分）</w:t>
            </w:r>
          </w:p>
        </w:tc>
        <w:tc>
          <w:tcPr>
            <w:tcW w:w="1276" w:type="dxa"/>
            <w:tcBorders>
              <w:tl2br w:val="nil"/>
              <w:tr2bl w:val="nil"/>
            </w:tcBorders>
            <w:shd w:val="clear" w:color="auto" w:fill="auto"/>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资本充足率</w:t>
            </w:r>
          </w:p>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w:t>
            </w:r>
            <w:r>
              <w:rPr>
                <w:rFonts w:ascii="仿宋" w:hAnsi="仿宋" w:eastAsia="仿宋" w:cs="宋体"/>
                <w:color w:val="000000"/>
                <w:kern w:val="0"/>
                <w:szCs w:val="21"/>
              </w:rPr>
              <w:t>7</w:t>
            </w:r>
            <w:r>
              <w:rPr>
                <w:rFonts w:hint="eastAsia" w:ascii="仿宋" w:hAnsi="仿宋" w:eastAsia="仿宋" w:cs="宋体"/>
                <w:color w:val="000000"/>
                <w:kern w:val="0"/>
                <w:szCs w:val="21"/>
              </w:rPr>
              <w:t>分）</w:t>
            </w:r>
          </w:p>
        </w:tc>
        <w:tc>
          <w:tcPr>
            <w:tcW w:w="5344" w:type="dxa"/>
            <w:tcBorders>
              <w:tl2br w:val="nil"/>
              <w:tr2bl w:val="nil"/>
            </w:tcBorders>
            <w:shd w:val="clear" w:color="auto" w:fill="auto"/>
            <w:vAlign w:val="center"/>
          </w:tcPr>
          <w:p>
            <w:pPr>
              <w:widowControl/>
              <w:spacing w:line="40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按照资本充足率进行递减排名，比率最大者为第一名，得</w:t>
            </w:r>
            <w:r>
              <w:rPr>
                <w:rFonts w:ascii="仿宋" w:hAnsi="仿宋" w:eastAsia="仿宋" w:cs="宋体"/>
                <w:color w:val="000000"/>
                <w:kern w:val="0"/>
                <w:szCs w:val="21"/>
              </w:rPr>
              <w:t>7</w:t>
            </w:r>
            <w:r>
              <w:rPr>
                <w:rFonts w:hint="eastAsia" w:ascii="仿宋" w:hAnsi="仿宋" w:eastAsia="仿宋" w:cs="宋体"/>
                <w:color w:val="000000"/>
                <w:kern w:val="0"/>
                <w:szCs w:val="21"/>
              </w:rPr>
              <w:t>分，从第二名开始依次递减</w:t>
            </w:r>
            <w:r>
              <w:rPr>
                <w:rFonts w:ascii="仿宋" w:hAnsi="仿宋" w:eastAsia="仿宋" w:cs="宋体"/>
                <w:color w:val="000000"/>
                <w:kern w:val="0"/>
                <w:szCs w:val="21"/>
              </w:rPr>
              <w:t>0.1</w:t>
            </w:r>
            <w:r>
              <w:rPr>
                <w:rFonts w:hint="eastAsia" w:ascii="仿宋" w:hAnsi="仿宋" w:eastAsia="仿宋" w:cs="宋体"/>
                <w:color w:val="000000"/>
                <w:kern w:val="0"/>
                <w:szCs w:val="21"/>
              </w:rPr>
              <w:t>分，如分值相同，按同档计分。资本充足率达不到监管标准（小于</w:t>
            </w:r>
            <w:r>
              <w:rPr>
                <w:rFonts w:ascii="仿宋" w:hAnsi="仿宋" w:eastAsia="仿宋" w:cs="宋体"/>
                <w:color w:val="000000"/>
                <w:kern w:val="0"/>
                <w:szCs w:val="21"/>
              </w:rPr>
              <w:t>10.5%</w:t>
            </w:r>
            <w:r>
              <w:rPr>
                <w:rFonts w:hint="eastAsia" w:ascii="仿宋" w:hAnsi="仿宋" w:eastAsia="仿宋" w:cs="宋体"/>
                <w:color w:val="000000"/>
                <w:kern w:val="0"/>
                <w:szCs w:val="21"/>
              </w:rPr>
              <w:t>）的不得分。</w:t>
            </w:r>
          </w:p>
        </w:tc>
        <w:tc>
          <w:tcPr>
            <w:tcW w:w="1602" w:type="dxa"/>
            <w:tcBorders>
              <w:tl2br w:val="nil"/>
              <w:tr2bl w:val="nil"/>
            </w:tcBorders>
            <w:shd w:val="clear" w:color="auto" w:fill="auto"/>
          </w:tcPr>
          <w:p>
            <w:pPr>
              <w:widowControl/>
              <w:spacing w:line="40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投标人总行年度（半年度）或季度数据。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1504" w:hRule="atLeast"/>
        </w:trPr>
        <w:tc>
          <w:tcPr>
            <w:tcW w:w="993" w:type="dxa"/>
            <w:vMerge w:val="continue"/>
            <w:tcBorders>
              <w:tl2br w:val="nil"/>
              <w:tr2bl w:val="nil"/>
            </w:tcBorders>
            <w:shd w:val="clear" w:color="auto" w:fill="auto"/>
            <w:vAlign w:val="center"/>
          </w:tcPr>
          <w:p>
            <w:pPr>
              <w:widowControl/>
              <w:spacing w:line="400" w:lineRule="exact"/>
              <w:jc w:val="left"/>
              <w:rPr>
                <w:rFonts w:ascii="仿宋" w:hAnsi="仿宋" w:eastAsia="仿宋" w:cs="宋体"/>
                <w:bCs/>
                <w:color w:val="000000"/>
                <w:kern w:val="0"/>
                <w:szCs w:val="21"/>
              </w:rPr>
            </w:pPr>
          </w:p>
        </w:tc>
        <w:tc>
          <w:tcPr>
            <w:tcW w:w="1276" w:type="dxa"/>
            <w:tcBorders>
              <w:tl2br w:val="nil"/>
              <w:tr2bl w:val="nil"/>
            </w:tcBorders>
            <w:shd w:val="clear" w:color="auto" w:fill="auto"/>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不良贷款率（</w:t>
            </w:r>
            <w:r>
              <w:rPr>
                <w:rFonts w:ascii="仿宋" w:hAnsi="仿宋" w:eastAsia="仿宋" w:cs="宋体"/>
                <w:color w:val="000000"/>
                <w:kern w:val="0"/>
                <w:szCs w:val="21"/>
              </w:rPr>
              <w:t>7</w:t>
            </w:r>
            <w:r>
              <w:rPr>
                <w:rFonts w:hint="eastAsia" w:ascii="仿宋" w:hAnsi="仿宋" w:eastAsia="仿宋" w:cs="宋体"/>
                <w:color w:val="000000"/>
                <w:kern w:val="0"/>
                <w:szCs w:val="21"/>
              </w:rPr>
              <w:t>分）</w:t>
            </w:r>
          </w:p>
        </w:tc>
        <w:tc>
          <w:tcPr>
            <w:tcW w:w="5344" w:type="dxa"/>
            <w:tcBorders>
              <w:tl2br w:val="nil"/>
              <w:tr2bl w:val="nil"/>
            </w:tcBorders>
            <w:shd w:val="clear" w:color="auto" w:fill="auto"/>
            <w:vAlign w:val="center"/>
          </w:tcPr>
          <w:p>
            <w:pPr>
              <w:widowControl/>
              <w:spacing w:line="40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按照不良贷款率进行递增排名，比率最小者为第一名，得</w:t>
            </w:r>
            <w:r>
              <w:rPr>
                <w:rFonts w:ascii="仿宋" w:hAnsi="仿宋" w:eastAsia="仿宋" w:cs="宋体"/>
                <w:color w:val="000000"/>
                <w:kern w:val="0"/>
                <w:szCs w:val="21"/>
              </w:rPr>
              <w:t>7</w:t>
            </w:r>
            <w:r>
              <w:rPr>
                <w:rFonts w:hint="eastAsia" w:ascii="仿宋" w:hAnsi="仿宋" w:eastAsia="仿宋" w:cs="宋体"/>
                <w:color w:val="000000"/>
                <w:kern w:val="0"/>
                <w:szCs w:val="21"/>
              </w:rPr>
              <w:t>分，从第二名开始依次递减</w:t>
            </w:r>
            <w:r>
              <w:rPr>
                <w:rFonts w:ascii="仿宋" w:hAnsi="仿宋" w:eastAsia="仿宋" w:cs="宋体"/>
                <w:color w:val="000000"/>
                <w:kern w:val="0"/>
                <w:szCs w:val="21"/>
              </w:rPr>
              <w:t>0.1</w:t>
            </w:r>
            <w:r>
              <w:rPr>
                <w:rFonts w:hint="eastAsia" w:ascii="仿宋" w:hAnsi="仿宋" w:eastAsia="仿宋" w:cs="宋体"/>
                <w:color w:val="000000"/>
                <w:kern w:val="0"/>
                <w:szCs w:val="21"/>
              </w:rPr>
              <w:t>分，如分值相同，按同档计分。不良贷款率达不到监管标准（大于</w:t>
            </w:r>
            <w:r>
              <w:rPr>
                <w:rFonts w:ascii="仿宋" w:hAnsi="仿宋" w:eastAsia="仿宋" w:cs="宋体"/>
                <w:color w:val="000000"/>
                <w:kern w:val="0"/>
                <w:szCs w:val="21"/>
              </w:rPr>
              <w:t>3%</w:t>
            </w:r>
            <w:r>
              <w:rPr>
                <w:rFonts w:hint="eastAsia" w:ascii="仿宋" w:hAnsi="仿宋" w:eastAsia="仿宋" w:cs="宋体"/>
                <w:color w:val="000000"/>
                <w:kern w:val="0"/>
                <w:szCs w:val="21"/>
              </w:rPr>
              <w:t>）的不得分。</w:t>
            </w:r>
          </w:p>
        </w:tc>
        <w:tc>
          <w:tcPr>
            <w:tcW w:w="1602" w:type="dxa"/>
            <w:tcBorders>
              <w:tl2br w:val="nil"/>
              <w:tr2bl w:val="nil"/>
            </w:tcBorders>
            <w:shd w:val="clear" w:color="auto" w:fill="auto"/>
          </w:tcPr>
          <w:p>
            <w:pPr>
              <w:widowControl/>
              <w:spacing w:line="40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投标人总行年度（半年度）或季度数据。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1478" w:hRule="atLeast"/>
        </w:trPr>
        <w:tc>
          <w:tcPr>
            <w:tcW w:w="993" w:type="dxa"/>
            <w:vMerge w:val="continue"/>
            <w:tcBorders>
              <w:tl2br w:val="nil"/>
              <w:tr2bl w:val="nil"/>
            </w:tcBorders>
            <w:shd w:val="clear" w:color="auto" w:fill="auto"/>
            <w:vAlign w:val="center"/>
          </w:tcPr>
          <w:p>
            <w:pPr>
              <w:widowControl/>
              <w:spacing w:line="400" w:lineRule="exact"/>
              <w:jc w:val="left"/>
              <w:rPr>
                <w:rFonts w:ascii="仿宋" w:hAnsi="仿宋" w:eastAsia="仿宋" w:cs="宋体"/>
                <w:bCs/>
                <w:color w:val="000000"/>
                <w:kern w:val="0"/>
                <w:szCs w:val="21"/>
              </w:rPr>
            </w:pPr>
          </w:p>
        </w:tc>
        <w:tc>
          <w:tcPr>
            <w:tcW w:w="1276" w:type="dxa"/>
            <w:tcBorders>
              <w:tl2br w:val="nil"/>
              <w:tr2bl w:val="nil"/>
            </w:tcBorders>
            <w:shd w:val="clear" w:color="auto" w:fill="auto"/>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拨备覆盖率（</w:t>
            </w:r>
            <w:r>
              <w:rPr>
                <w:rFonts w:ascii="仿宋" w:hAnsi="仿宋" w:eastAsia="仿宋" w:cs="宋体"/>
                <w:color w:val="000000"/>
                <w:kern w:val="0"/>
                <w:szCs w:val="21"/>
              </w:rPr>
              <w:t>7</w:t>
            </w:r>
            <w:r>
              <w:rPr>
                <w:rFonts w:hint="eastAsia" w:ascii="仿宋" w:hAnsi="仿宋" w:eastAsia="仿宋" w:cs="宋体"/>
                <w:color w:val="000000"/>
                <w:kern w:val="0"/>
                <w:szCs w:val="21"/>
              </w:rPr>
              <w:t>分）</w:t>
            </w:r>
          </w:p>
        </w:tc>
        <w:tc>
          <w:tcPr>
            <w:tcW w:w="5344" w:type="dxa"/>
            <w:tcBorders>
              <w:tl2br w:val="nil"/>
              <w:tr2bl w:val="nil"/>
            </w:tcBorders>
            <w:shd w:val="clear" w:color="auto" w:fill="auto"/>
            <w:vAlign w:val="center"/>
          </w:tcPr>
          <w:p>
            <w:pPr>
              <w:widowControl/>
              <w:spacing w:line="400" w:lineRule="exact"/>
              <w:rPr>
                <w:rFonts w:ascii="仿宋" w:hAnsi="仿宋" w:eastAsia="仿宋" w:cs="宋体"/>
                <w:color w:val="000000"/>
                <w:kern w:val="0"/>
                <w:szCs w:val="21"/>
              </w:rPr>
            </w:pPr>
            <w:r>
              <w:rPr>
                <w:rFonts w:hint="eastAsia" w:ascii="仿宋" w:hAnsi="仿宋" w:eastAsia="仿宋" w:cs="宋体"/>
                <w:color w:val="000000"/>
                <w:kern w:val="0"/>
                <w:szCs w:val="21"/>
              </w:rPr>
              <w:t>按照拨备覆盖率进行递减排名，比率最大者为第一名，得</w:t>
            </w:r>
            <w:r>
              <w:rPr>
                <w:rFonts w:ascii="仿宋" w:hAnsi="仿宋" w:eastAsia="仿宋" w:cs="宋体"/>
                <w:color w:val="000000"/>
                <w:kern w:val="0"/>
                <w:szCs w:val="21"/>
              </w:rPr>
              <w:t>7</w:t>
            </w:r>
            <w:r>
              <w:rPr>
                <w:rFonts w:hint="eastAsia" w:ascii="仿宋" w:hAnsi="仿宋" w:eastAsia="仿宋" w:cs="宋体"/>
                <w:color w:val="000000"/>
                <w:kern w:val="0"/>
                <w:szCs w:val="21"/>
              </w:rPr>
              <w:t>分，从第二名</w:t>
            </w:r>
            <w:bookmarkStart w:id="0" w:name="_GoBack"/>
            <w:bookmarkEnd w:id="0"/>
            <w:r>
              <w:rPr>
                <w:rFonts w:hint="eastAsia" w:ascii="仿宋" w:hAnsi="仿宋" w:eastAsia="仿宋" w:cs="宋体"/>
                <w:color w:val="000000"/>
                <w:kern w:val="0"/>
                <w:szCs w:val="21"/>
              </w:rPr>
              <w:t>开始依次递减</w:t>
            </w:r>
            <w:r>
              <w:rPr>
                <w:rFonts w:ascii="仿宋" w:hAnsi="仿宋" w:eastAsia="仿宋" w:cs="宋体"/>
                <w:color w:val="000000"/>
                <w:kern w:val="0"/>
                <w:szCs w:val="21"/>
              </w:rPr>
              <w:t>0.1</w:t>
            </w:r>
            <w:r>
              <w:rPr>
                <w:rFonts w:hint="eastAsia" w:ascii="仿宋" w:hAnsi="仿宋" w:eastAsia="仿宋" w:cs="宋体"/>
                <w:color w:val="000000"/>
                <w:kern w:val="0"/>
                <w:szCs w:val="21"/>
              </w:rPr>
              <w:t>分，如分值相同，按同档计分。拨备覆盖率达不到监管标准（小于</w:t>
            </w:r>
            <w:r>
              <w:rPr>
                <w:rFonts w:ascii="仿宋" w:hAnsi="仿宋" w:eastAsia="仿宋" w:cs="宋体"/>
                <w:color w:val="000000"/>
                <w:kern w:val="0"/>
                <w:szCs w:val="21"/>
              </w:rPr>
              <w:t>120%</w:t>
            </w:r>
            <w:r>
              <w:rPr>
                <w:rFonts w:hint="eastAsia" w:ascii="仿宋" w:hAnsi="仿宋" w:eastAsia="仿宋" w:cs="宋体"/>
                <w:color w:val="000000"/>
                <w:kern w:val="0"/>
                <w:szCs w:val="21"/>
              </w:rPr>
              <w:t>）的不得分。</w:t>
            </w:r>
          </w:p>
        </w:tc>
        <w:tc>
          <w:tcPr>
            <w:tcW w:w="1602" w:type="dxa"/>
            <w:tcBorders>
              <w:tl2br w:val="nil"/>
              <w:tr2bl w:val="nil"/>
            </w:tcBorders>
            <w:shd w:val="clear" w:color="auto" w:fill="auto"/>
          </w:tcPr>
          <w:p>
            <w:pPr>
              <w:widowControl/>
              <w:spacing w:line="40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投标人总行年度（半年度）或季度数据。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1620" w:hRule="atLeast"/>
        </w:trPr>
        <w:tc>
          <w:tcPr>
            <w:tcW w:w="993" w:type="dxa"/>
            <w:vMerge w:val="continue"/>
            <w:tcBorders>
              <w:tl2br w:val="nil"/>
              <w:tr2bl w:val="nil"/>
            </w:tcBorders>
            <w:shd w:val="clear" w:color="auto" w:fill="auto"/>
            <w:vAlign w:val="center"/>
          </w:tcPr>
          <w:p>
            <w:pPr>
              <w:widowControl/>
              <w:spacing w:line="400" w:lineRule="exact"/>
              <w:jc w:val="left"/>
              <w:rPr>
                <w:rFonts w:ascii="仿宋" w:hAnsi="仿宋" w:eastAsia="仿宋" w:cs="宋体"/>
                <w:bCs/>
                <w:color w:val="000000"/>
                <w:kern w:val="0"/>
                <w:szCs w:val="21"/>
              </w:rPr>
            </w:pPr>
          </w:p>
        </w:tc>
        <w:tc>
          <w:tcPr>
            <w:tcW w:w="1276" w:type="dxa"/>
            <w:tcBorders>
              <w:tl2br w:val="nil"/>
              <w:tr2bl w:val="nil"/>
            </w:tcBorders>
            <w:shd w:val="clear" w:color="auto" w:fill="auto"/>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流动性覆盖率（</w:t>
            </w:r>
            <w:r>
              <w:rPr>
                <w:rFonts w:ascii="仿宋" w:hAnsi="仿宋" w:eastAsia="仿宋" w:cs="宋体"/>
                <w:color w:val="000000"/>
                <w:kern w:val="0"/>
                <w:szCs w:val="21"/>
              </w:rPr>
              <w:t>7</w:t>
            </w:r>
            <w:r>
              <w:rPr>
                <w:rFonts w:hint="eastAsia" w:ascii="仿宋" w:hAnsi="仿宋" w:eastAsia="仿宋" w:cs="宋体"/>
                <w:color w:val="000000"/>
                <w:kern w:val="0"/>
                <w:szCs w:val="21"/>
              </w:rPr>
              <w:t>分）</w:t>
            </w:r>
          </w:p>
        </w:tc>
        <w:tc>
          <w:tcPr>
            <w:tcW w:w="5344" w:type="dxa"/>
            <w:tcBorders>
              <w:tl2br w:val="nil"/>
              <w:tr2bl w:val="nil"/>
            </w:tcBorders>
            <w:shd w:val="clear" w:color="auto" w:fill="auto"/>
            <w:vAlign w:val="center"/>
          </w:tcPr>
          <w:p>
            <w:pPr>
              <w:widowControl/>
              <w:spacing w:line="400" w:lineRule="exact"/>
              <w:rPr>
                <w:rFonts w:ascii="仿宋" w:hAnsi="仿宋" w:eastAsia="仿宋" w:cs="宋体"/>
                <w:color w:val="000000"/>
                <w:kern w:val="0"/>
                <w:szCs w:val="21"/>
              </w:rPr>
            </w:pPr>
            <w:r>
              <w:rPr>
                <w:rFonts w:hint="eastAsia" w:ascii="仿宋" w:hAnsi="仿宋" w:eastAsia="仿宋" w:cs="宋体"/>
                <w:color w:val="000000"/>
                <w:kern w:val="0"/>
                <w:szCs w:val="21"/>
              </w:rPr>
              <w:t>按照流动性覆盖率进行递减排名，比率最大者为第一名，得</w:t>
            </w:r>
            <w:r>
              <w:rPr>
                <w:rFonts w:ascii="仿宋" w:hAnsi="仿宋" w:eastAsia="仿宋" w:cs="宋体"/>
                <w:color w:val="000000"/>
                <w:kern w:val="0"/>
                <w:szCs w:val="21"/>
              </w:rPr>
              <w:t>7</w:t>
            </w:r>
            <w:r>
              <w:rPr>
                <w:rFonts w:hint="eastAsia" w:ascii="仿宋" w:hAnsi="仿宋" w:eastAsia="仿宋" w:cs="宋体"/>
                <w:color w:val="000000"/>
                <w:kern w:val="0"/>
                <w:szCs w:val="21"/>
              </w:rPr>
              <w:t>分，从第二名开始依次递减</w:t>
            </w:r>
            <w:r>
              <w:rPr>
                <w:rFonts w:ascii="仿宋" w:hAnsi="仿宋" w:eastAsia="仿宋" w:cs="宋体"/>
                <w:color w:val="000000"/>
                <w:kern w:val="0"/>
                <w:szCs w:val="21"/>
              </w:rPr>
              <w:t>0.1</w:t>
            </w:r>
            <w:r>
              <w:rPr>
                <w:rFonts w:hint="eastAsia" w:ascii="仿宋" w:hAnsi="仿宋" w:eastAsia="仿宋" w:cs="宋体"/>
                <w:color w:val="000000"/>
                <w:kern w:val="0"/>
                <w:szCs w:val="21"/>
              </w:rPr>
              <w:t>分，如分值相同，按同档计分。流动性覆盖率达不到监管标准（小于</w:t>
            </w:r>
            <w:r>
              <w:rPr>
                <w:rFonts w:ascii="仿宋" w:hAnsi="仿宋" w:eastAsia="仿宋" w:cs="宋体"/>
                <w:color w:val="000000"/>
                <w:kern w:val="0"/>
                <w:szCs w:val="21"/>
              </w:rPr>
              <w:t>100%</w:t>
            </w:r>
            <w:r>
              <w:rPr>
                <w:rFonts w:hint="eastAsia" w:ascii="仿宋" w:hAnsi="仿宋" w:eastAsia="仿宋" w:cs="宋体"/>
                <w:color w:val="000000"/>
                <w:kern w:val="0"/>
                <w:szCs w:val="21"/>
              </w:rPr>
              <w:t>）的不得分。</w:t>
            </w:r>
          </w:p>
        </w:tc>
        <w:tc>
          <w:tcPr>
            <w:tcW w:w="1602" w:type="dxa"/>
            <w:tcBorders>
              <w:tl2br w:val="nil"/>
              <w:tr2bl w:val="nil"/>
            </w:tcBorders>
            <w:shd w:val="clear" w:color="auto" w:fill="auto"/>
          </w:tcPr>
          <w:p>
            <w:pPr>
              <w:widowControl/>
              <w:spacing w:line="40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投标人总行年度（半年度）或季度数据。资产规模小于</w:t>
            </w:r>
            <w:r>
              <w:rPr>
                <w:rFonts w:ascii="仿宋" w:hAnsi="仿宋" w:eastAsia="仿宋" w:cs="宋体"/>
                <w:color w:val="000000"/>
                <w:kern w:val="0"/>
                <w:szCs w:val="21"/>
              </w:rPr>
              <w:t>2000</w:t>
            </w:r>
            <w:r>
              <w:rPr>
                <w:rFonts w:hint="eastAsia" w:ascii="仿宋" w:hAnsi="仿宋" w:eastAsia="仿宋" w:cs="宋体"/>
                <w:color w:val="000000"/>
                <w:kern w:val="0"/>
                <w:szCs w:val="21"/>
              </w:rPr>
              <w:t>亿元的银行按均值计分。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1512" w:hRule="atLeast"/>
        </w:trPr>
        <w:tc>
          <w:tcPr>
            <w:tcW w:w="993" w:type="dxa"/>
            <w:vMerge w:val="continue"/>
            <w:tcBorders>
              <w:tl2br w:val="nil"/>
              <w:tr2bl w:val="nil"/>
            </w:tcBorders>
            <w:shd w:val="clear" w:color="auto" w:fill="auto"/>
            <w:vAlign w:val="center"/>
          </w:tcPr>
          <w:p>
            <w:pPr>
              <w:widowControl/>
              <w:spacing w:line="400" w:lineRule="exact"/>
              <w:jc w:val="left"/>
              <w:rPr>
                <w:rFonts w:ascii="仿宋" w:hAnsi="仿宋" w:eastAsia="仿宋" w:cs="宋体"/>
                <w:bCs/>
                <w:color w:val="000000"/>
                <w:kern w:val="0"/>
                <w:szCs w:val="21"/>
              </w:rPr>
            </w:pPr>
          </w:p>
        </w:tc>
        <w:tc>
          <w:tcPr>
            <w:tcW w:w="1276" w:type="dxa"/>
            <w:tcBorders>
              <w:tl2br w:val="nil"/>
              <w:tr2bl w:val="nil"/>
            </w:tcBorders>
            <w:shd w:val="clear" w:color="auto" w:fill="auto"/>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流动性比例（</w:t>
            </w:r>
            <w:r>
              <w:rPr>
                <w:rFonts w:ascii="仿宋" w:hAnsi="仿宋" w:eastAsia="仿宋" w:cs="宋体"/>
                <w:color w:val="000000"/>
                <w:kern w:val="0"/>
                <w:szCs w:val="21"/>
              </w:rPr>
              <w:t>7</w:t>
            </w:r>
            <w:r>
              <w:rPr>
                <w:rFonts w:hint="eastAsia" w:ascii="仿宋" w:hAnsi="仿宋" w:eastAsia="仿宋" w:cs="宋体"/>
                <w:color w:val="000000"/>
                <w:kern w:val="0"/>
                <w:szCs w:val="21"/>
              </w:rPr>
              <w:t>分）</w:t>
            </w:r>
          </w:p>
        </w:tc>
        <w:tc>
          <w:tcPr>
            <w:tcW w:w="5344" w:type="dxa"/>
            <w:tcBorders>
              <w:tl2br w:val="nil"/>
              <w:tr2bl w:val="nil"/>
            </w:tcBorders>
            <w:shd w:val="clear" w:color="auto" w:fill="auto"/>
            <w:vAlign w:val="center"/>
          </w:tcPr>
          <w:p>
            <w:pPr>
              <w:widowControl/>
              <w:spacing w:line="400" w:lineRule="exact"/>
              <w:rPr>
                <w:rFonts w:ascii="仿宋" w:hAnsi="仿宋" w:eastAsia="仿宋" w:cs="宋体"/>
                <w:color w:val="000000"/>
                <w:kern w:val="0"/>
                <w:szCs w:val="21"/>
              </w:rPr>
            </w:pPr>
            <w:r>
              <w:rPr>
                <w:rFonts w:hint="eastAsia" w:ascii="仿宋" w:hAnsi="仿宋" w:eastAsia="仿宋" w:cs="宋体"/>
                <w:color w:val="000000"/>
                <w:kern w:val="0"/>
                <w:szCs w:val="21"/>
              </w:rPr>
              <w:t>按照流动性比例进行递减排名，比率最大者为第一名，得</w:t>
            </w:r>
            <w:r>
              <w:rPr>
                <w:rFonts w:ascii="仿宋" w:hAnsi="仿宋" w:eastAsia="仿宋" w:cs="宋体"/>
                <w:color w:val="000000"/>
                <w:kern w:val="0"/>
                <w:szCs w:val="21"/>
              </w:rPr>
              <w:t>7</w:t>
            </w:r>
            <w:r>
              <w:rPr>
                <w:rFonts w:hint="eastAsia" w:ascii="仿宋" w:hAnsi="仿宋" w:eastAsia="仿宋" w:cs="宋体"/>
                <w:color w:val="000000"/>
                <w:kern w:val="0"/>
                <w:szCs w:val="21"/>
              </w:rPr>
              <w:t>分，从第二名开始依次递减</w:t>
            </w:r>
            <w:r>
              <w:rPr>
                <w:rFonts w:ascii="仿宋" w:hAnsi="仿宋" w:eastAsia="仿宋" w:cs="宋体"/>
                <w:color w:val="000000"/>
                <w:kern w:val="0"/>
                <w:szCs w:val="21"/>
              </w:rPr>
              <w:t>0.1</w:t>
            </w:r>
            <w:r>
              <w:rPr>
                <w:rFonts w:hint="eastAsia" w:ascii="仿宋" w:hAnsi="仿宋" w:eastAsia="仿宋" w:cs="宋体"/>
                <w:color w:val="000000"/>
                <w:kern w:val="0"/>
                <w:szCs w:val="21"/>
              </w:rPr>
              <w:t>分，如分值相同，按同档计分。流动性比例达不到监管标准（小于</w:t>
            </w:r>
            <w:r>
              <w:rPr>
                <w:rFonts w:ascii="仿宋" w:hAnsi="仿宋" w:eastAsia="仿宋" w:cs="宋体"/>
                <w:color w:val="000000"/>
                <w:kern w:val="0"/>
                <w:szCs w:val="21"/>
              </w:rPr>
              <w:t>25%</w:t>
            </w:r>
            <w:r>
              <w:rPr>
                <w:rFonts w:hint="eastAsia" w:ascii="仿宋" w:hAnsi="仿宋" w:eastAsia="仿宋" w:cs="宋体"/>
                <w:color w:val="000000"/>
                <w:kern w:val="0"/>
                <w:szCs w:val="21"/>
              </w:rPr>
              <w:t>）的不得分。</w:t>
            </w:r>
          </w:p>
        </w:tc>
        <w:tc>
          <w:tcPr>
            <w:tcW w:w="1602" w:type="dxa"/>
            <w:tcBorders>
              <w:tl2br w:val="nil"/>
              <w:tr2bl w:val="nil"/>
            </w:tcBorders>
            <w:shd w:val="clear" w:color="auto" w:fill="auto"/>
          </w:tcPr>
          <w:p>
            <w:pPr>
              <w:widowControl/>
              <w:spacing w:line="40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投标人总行年度（半年度）或季度数据。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1457" w:hRule="atLeast"/>
        </w:trPr>
        <w:tc>
          <w:tcPr>
            <w:tcW w:w="993" w:type="dxa"/>
            <w:tcBorders>
              <w:tl2br w:val="nil"/>
              <w:tr2bl w:val="nil"/>
            </w:tcBorders>
            <w:shd w:val="clear" w:color="auto" w:fill="auto"/>
            <w:vAlign w:val="center"/>
          </w:tcPr>
          <w:p>
            <w:pPr>
              <w:widowControl/>
              <w:spacing w:line="40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收益性（</w:t>
            </w:r>
            <w:r>
              <w:rPr>
                <w:rFonts w:ascii="仿宋" w:hAnsi="仿宋" w:eastAsia="仿宋"/>
                <w:bCs/>
                <w:color w:val="000000"/>
                <w:kern w:val="0"/>
                <w:szCs w:val="21"/>
              </w:rPr>
              <w:t>30</w:t>
            </w:r>
            <w:r>
              <w:rPr>
                <w:rFonts w:hint="eastAsia" w:ascii="仿宋" w:hAnsi="仿宋" w:eastAsia="仿宋" w:cs="宋体"/>
                <w:bCs/>
                <w:color w:val="000000"/>
                <w:kern w:val="0"/>
                <w:szCs w:val="21"/>
              </w:rPr>
              <w:t>分）</w:t>
            </w:r>
          </w:p>
        </w:tc>
        <w:tc>
          <w:tcPr>
            <w:tcW w:w="1276" w:type="dxa"/>
            <w:tcBorders>
              <w:tl2br w:val="nil"/>
              <w:tr2bl w:val="nil"/>
            </w:tcBorders>
            <w:shd w:val="clear" w:color="auto" w:fill="auto"/>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存款利率</w:t>
            </w:r>
          </w:p>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w:t>
            </w:r>
            <w:r>
              <w:rPr>
                <w:rFonts w:ascii="仿宋" w:hAnsi="仿宋" w:eastAsia="仿宋"/>
                <w:color w:val="000000"/>
                <w:kern w:val="0"/>
                <w:szCs w:val="21"/>
              </w:rPr>
              <w:t>30</w:t>
            </w:r>
            <w:r>
              <w:rPr>
                <w:rFonts w:hint="eastAsia" w:ascii="仿宋" w:hAnsi="仿宋" w:eastAsia="仿宋" w:cs="宋体"/>
                <w:color w:val="000000"/>
                <w:kern w:val="0"/>
                <w:szCs w:val="21"/>
              </w:rPr>
              <w:t>分）</w:t>
            </w:r>
          </w:p>
        </w:tc>
        <w:tc>
          <w:tcPr>
            <w:tcW w:w="5344" w:type="dxa"/>
            <w:tcBorders>
              <w:tl2br w:val="nil"/>
              <w:tr2bl w:val="nil"/>
            </w:tcBorders>
            <w:shd w:val="clear" w:color="auto" w:fill="auto"/>
            <w:vAlign w:val="center"/>
          </w:tcPr>
          <w:p>
            <w:pPr>
              <w:widowControl/>
              <w:spacing w:line="400" w:lineRule="exact"/>
              <w:rPr>
                <w:rFonts w:ascii="仿宋" w:hAnsi="仿宋" w:eastAsia="仿宋" w:cs="宋体"/>
                <w:color w:val="000000"/>
                <w:kern w:val="0"/>
                <w:szCs w:val="21"/>
              </w:rPr>
            </w:pPr>
            <w:r>
              <w:rPr>
                <w:rFonts w:hint="eastAsia" w:ascii="仿宋" w:hAnsi="仿宋" w:eastAsia="仿宋" w:cs="宋体"/>
                <w:color w:val="000000"/>
                <w:kern w:val="0"/>
                <w:szCs w:val="21"/>
              </w:rPr>
              <w:t>在符合青海省市场利率定价自律机制议定范围内，投标利率最高者得30分；其他银行每下降1个BP，减0.2分。</w:t>
            </w:r>
          </w:p>
        </w:tc>
        <w:tc>
          <w:tcPr>
            <w:tcW w:w="1602" w:type="dxa"/>
            <w:tcBorders>
              <w:tl2br w:val="nil"/>
              <w:tr2bl w:val="nil"/>
            </w:tcBorders>
            <w:shd w:val="clear" w:color="auto" w:fill="auto"/>
          </w:tcPr>
          <w:p>
            <w:pPr>
              <w:widowControl/>
              <w:spacing w:line="40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投标人承诺本次国库定期存款利率水平情况。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1486" w:hRule="atLeast"/>
        </w:trPr>
        <w:tc>
          <w:tcPr>
            <w:tcW w:w="993" w:type="dxa"/>
            <w:tcBorders>
              <w:tl2br w:val="nil"/>
              <w:tr2bl w:val="nil"/>
            </w:tcBorders>
            <w:shd w:val="clear" w:color="auto" w:fill="auto"/>
            <w:vAlign w:val="center"/>
          </w:tcPr>
          <w:p>
            <w:pPr>
              <w:widowControl/>
              <w:spacing w:line="40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贡献度（</w:t>
            </w:r>
            <w:r>
              <w:rPr>
                <w:rFonts w:ascii="仿宋" w:hAnsi="仿宋" w:eastAsia="仿宋"/>
                <w:bCs/>
                <w:color w:val="000000"/>
                <w:kern w:val="0"/>
                <w:szCs w:val="21"/>
              </w:rPr>
              <w:t>25</w:t>
            </w:r>
            <w:r>
              <w:rPr>
                <w:rFonts w:hint="eastAsia" w:ascii="仿宋" w:hAnsi="仿宋" w:eastAsia="仿宋" w:cs="宋体"/>
                <w:bCs/>
                <w:color w:val="000000"/>
                <w:kern w:val="0"/>
                <w:szCs w:val="21"/>
              </w:rPr>
              <w:t>分）</w:t>
            </w:r>
          </w:p>
        </w:tc>
        <w:tc>
          <w:tcPr>
            <w:tcW w:w="1276" w:type="dxa"/>
            <w:tcBorders>
              <w:tl2br w:val="nil"/>
              <w:tr2bl w:val="nil"/>
            </w:tcBorders>
            <w:shd w:val="clear" w:color="auto" w:fill="auto"/>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纳税规模</w:t>
            </w:r>
          </w:p>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w:t>
            </w:r>
            <w:r>
              <w:rPr>
                <w:rFonts w:ascii="仿宋" w:hAnsi="仿宋" w:eastAsia="仿宋"/>
                <w:color w:val="000000"/>
                <w:kern w:val="0"/>
                <w:szCs w:val="21"/>
              </w:rPr>
              <w:t>25</w:t>
            </w:r>
            <w:r>
              <w:rPr>
                <w:rFonts w:hint="eastAsia" w:ascii="仿宋" w:hAnsi="仿宋" w:eastAsia="仿宋" w:cs="宋体"/>
                <w:color w:val="000000"/>
                <w:kern w:val="0"/>
                <w:szCs w:val="21"/>
              </w:rPr>
              <w:t>分）</w:t>
            </w:r>
          </w:p>
        </w:tc>
        <w:tc>
          <w:tcPr>
            <w:tcW w:w="5344" w:type="dxa"/>
            <w:tcBorders>
              <w:tl2br w:val="nil"/>
              <w:tr2bl w:val="nil"/>
            </w:tcBorders>
            <w:shd w:val="clear" w:color="auto" w:fill="auto"/>
            <w:vAlign w:val="center"/>
          </w:tcPr>
          <w:p>
            <w:pPr>
              <w:widowControl/>
              <w:spacing w:line="400" w:lineRule="exact"/>
              <w:rPr>
                <w:rFonts w:ascii="仿宋" w:hAnsi="仿宋" w:eastAsia="仿宋" w:cs="宋体"/>
                <w:color w:val="000000"/>
                <w:kern w:val="0"/>
                <w:szCs w:val="21"/>
              </w:rPr>
            </w:pPr>
            <w:r>
              <w:rPr>
                <w:rFonts w:hint="eastAsia" w:ascii="仿宋" w:hAnsi="仿宋" w:eastAsia="仿宋" w:cs="宋体"/>
                <w:color w:val="000000"/>
                <w:kern w:val="0"/>
                <w:szCs w:val="21"/>
              </w:rPr>
              <w:t>根据参与银行缴纳的增值税、企业所得税和个人所得税（以下简称“三税”）地方分享部分为评分依据。按照纳税规模从高到低排名，纳税规模最大的为第一名，得满分25分，从第二名开始依次递减0.5分，如分值相同，按同档计分。</w:t>
            </w:r>
          </w:p>
        </w:tc>
        <w:tc>
          <w:tcPr>
            <w:tcW w:w="1602" w:type="dxa"/>
            <w:tcBorders>
              <w:tl2br w:val="nil"/>
              <w:tr2bl w:val="nil"/>
            </w:tcBorders>
            <w:shd w:val="clear" w:color="auto" w:fill="auto"/>
          </w:tcPr>
          <w:p>
            <w:pPr>
              <w:widowControl/>
              <w:spacing w:line="400" w:lineRule="exact"/>
              <w:jc w:val="left"/>
              <w:rPr>
                <w:rFonts w:ascii="仿宋" w:hAnsi="仿宋" w:eastAsia="仿宋" w:cs="宋体"/>
                <w:color w:val="000000"/>
                <w:kern w:val="0"/>
                <w:szCs w:val="21"/>
              </w:rPr>
            </w:pPr>
          </w:p>
          <w:p>
            <w:pPr>
              <w:widowControl/>
              <w:spacing w:line="40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投标人年度（半年度）或季度数据。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1486" w:hRule="atLeast"/>
        </w:trPr>
        <w:tc>
          <w:tcPr>
            <w:tcW w:w="993" w:type="dxa"/>
            <w:vMerge w:val="restart"/>
            <w:tcBorders>
              <w:tl2br w:val="nil"/>
              <w:tr2bl w:val="nil"/>
            </w:tcBorders>
            <w:shd w:val="clear" w:color="auto" w:fill="auto"/>
            <w:vAlign w:val="center"/>
          </w:tcPr>
          <w:p>
            <w:pPr>
              <w:widowControl/>
              <w:spacing w:line="40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服务</w:t>
            </w:r>
          </w:p>
          <w:p>
            <w:pPr>
              <w:widowControl/>
              <w:spacing w:line="40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质量</w:t>
            </w:r>
          </w:p>
          <w:p>
            <w:pPr>
              <w:widowControl/>
              <w:spacing w:line="40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（10分）</w:t>
            </w:r>
          </w:p>
        </w:tc>
        <w:tc>
          <w:tcPr>
            <w:tcW w:w="1276" w:type="dxa"/>
            <w:vMerge w:val="restart"/>
            <w:tcBorders>
              <w:tl2br w:val="nil"/>
              <w:tr2bl w:val="nil"/>
            </w:tcBorders>
            <w:shd w:val="clear" w:color="auto" w:fill="auto"/>
            <w:vAlign w:val="center"/>
          </w:tcPr>
          <w:p>
            <w:pPr>
              <w:spacing w:line="400" w:lineRule="exact"/>
              <w:jc w:val="center"/>
              <w:rPr>
                <w:rFonts w:ascii="仿宋" w:hAnsi="仿宋" w:eastAsia="仿宋" w:cs="宋体"/>
                <w:bCs/>
                <w:color w:val="000000"/>
                <w:kern w:val="0"/>
                <w:szCs w:val="21"/>
              </w:rPr>
            </w:pPr>
            <w:r>
              <w:rPr>
                <w:rFonts w:hint="eastAsia" w:ascii="仿宋" w:hAnsi="仿宋" w:eastAsia="仿宋" w:cs="宋体"/>
                <w:color w:val="000000"/>
                <w:kern w:val="0"/>
                <w:szCs w:val="21"/>
              </w:rPr>
              <w:t>服务财政国库管理业务（5分）</w:t>
            </w:r>
          </w:p>
        </w:tc>
        <w:tc>
          <w:tcPr>
            <w:tcW w:w="5344" w:type="dxa"/>
            <w:tcBorders>
              <w:tl2br w:val="nil"/>
              <w:tr2bl w:val="nil"/>
            </w:tcBorders>
            <w:shd w:val="clear" w:color="auto" w:fill="auto"/>
            <w:vAlign w:val="center"/>
          </w:tcPr>
          <w:p>
            <w:pPr>
              <w:spacing w:line="40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共1分。办理省级财政国库业务的代理银行（含集中支付业务和非税业务等），按每期操作时上月度投诉情况进行评分，每发生一起投诉事件扣0.5分，无投诉得满分。</w:t>
            </w:r>
          </w:p>
        </w:tc>
        <w:tc>
          <w:tcPr>
            <w:tcW w:w="1602" w:type="dxa"/>
            <w:vMerge w:val="restart"/>
            <w:tcBorders>
              <w:tl2br w:val="nil"/>
              <w:tr2bl w:val="nil"/>
            </w:tcBorders>
            <w:shd w:val="clear" w:color="auto" w:fill="auto"/>
          </w:tcPr>
          <w:p>
            <w:pPr>
              <w:spacing w:line="400" w:lineRule="exact"/>
              <w:jc w:val="left"/>
              <w:rPr>
                <w:rFonts w:ascii="仿宋" w:hAnsi="仿宋" w:eastAsia="仿宋" w:cs="宋体"/>
                <w:color w:val="000000"/>
                <w:kern w:val="0"/>
                <w:szCs w:val="21"/>
              </w:rPr>
            </w:pPr>
          </w:p>
          <w:p>
            <w:pPr>
              <w:spacing w:line="400" w:lineRule="exact"/>
              <w:jc w:val="left"/>
              <w:rPr>
                <w:rFonts w:ascii="仿宋" w:hAnsi="仿宋" w:eastAsia="仿宋" w:cs="宋体"/>
                <w:color w:val="000000"/>
                <w:kern w:val="0"/>
                <w:szCs w:val="21"/>
              </w:rPr>
            </w:pPr>
          </w:p>
          <w:p>
            <w:pPr>
              <w:spacing w:line="400" w:lineRule="exact"/>
              <w:jc w:val="left"/>
              <w:rPr>
                <w:rFonts w:ascii="仿宋" w:hAnsi="仿宋" w:eastAsia="仿宋"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1071" w:hRule="atLeast"/>
        </w:trPr>
        <w:tc>
          <w:tcPr>
            <w:tcW w:w="993" w:type="dxa"/>
            <w:vMerge w:val="continue"/>
            <w:tcBorders>
              <w:tl2br w:val="nil"/>
              <w:tr2bl w:val="nil"/>
            </w:tcBorders>
            <w:shd w:val="clear" w:color="auto" w:fill="auto"/>
            <w:vAlign w:val="center"/>
          </w:tcPr>
          <w:p>
            <w:pPr>
              <w:spacing w:line="400" w:lineRule="exact"/>
              <w:rPr>
                <w:rFonts w:ascii="仿宋" w:hAnsi="仿宋" w:eastAsia="仿宋" w:cs="宋体"/>
                <w:color w:val="000000"/>
                <w:kern w:val="0"/>
                <w:szCs w:val="21"/>
              </w:rPr>
            </w:pPr>
          </w:p>
        </w:tc>
        <w:tc>
          <w:tcPr>
            <w:tcW w:w="1276" w:type="dxa"/>
            <w:vMerge w:val="continue"/>
            <w:tcBorders>
              <w:tl2br w:val="nil"/>
              <w:tr2bl w:val="nil"/>
            </w:tcBorders>
            <w:shd w:val="clear" w:color="auto" w:fill="auto"/>
            <w:vAlign w:val="center"/>
          </w:tcPr>
          <w:p>
            <w:pPr>
              <w:spacing w:line="400" w:lineRule="exact"/>
              <w:jc w:val="center"/>
              <w:rPr>
                <w:rFonts w:ascii="仿宋" w:hAnsi="仿宋" w:eastAsia="仿宋" w:cs="宋体"/>
                <w:color w:val="000000"/>
                <w:kern w:val="0"/>
                <w:szCs w:val="21"/>
              </w:rPr>
            </w:pPr>
          </w:p>
        </w:tc>
        <w:tc>
          <w:tcPr>
            <w:tcW w:w="5344" w:type="dxa"/>
            <w:tcBorders>
              <w:tl2br w:val="nil"/>
              <w:tr2bl w:val="nil"/>
            </w:tcBorders>
            <w:shd w:val="clear" w:color="auto" w:fill="auto"/>
            <w:vAlign w:val="center"/>
          </w:tcPr>
          <w:p>
            <w:pPr>
              <w:spacing w:line="40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共2分。根据国库集中支付代理银行上年度考评得分结果进行评分，排名第一的银行得满分，其余银行自第二名起依次递减0.1分。</w:t>
            </w:r>
          </w:p>
        </w:tc>
        <w:tc>
          <w:tcPr>
            <w:tcW w:w="1602" w:type="dxa"/>
            <w:vMerge w:val="continue"/>
            <w:tcBorders>
              <w:tl2br w:val="nil"/>
              <w:tr2bl w:val="nil"/>
            </w:tcBorders>
            <w:shd w:val="clear" w:color="auto" w:fill="auto"/>
          </w:tcPr>
          <w:p>
            <w:pPr>
              <w:spacing w:line="400" w:lineRule="exact"/>
              <w:jc w:val="left"/>
              <w:rPr>
                <w:rFonts w:ascii="仿宋" w:hAnsi="仿宋" w:eastAsia="仿宋"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1071" w:hRule="atLeast"/>
        </w:trPr>
        <w:tc>
          <w:tcPr>
            <w:tcW w:w="993" w:type="dxa"/>
            <w:vMerge w:val="continue"/>
            <w:tcBorders>
              <w:tl2br w:val="nil"/>
              <w:tr2bl w:val="nil"/>
            </w:tcBorders>
            <w:shd w:val="clear" w:color="auto" w:fill="auto"/>
            <w:vAlign w:val="center"/>
          </w:tcPr>
          <w:p>
            <w:pPr>
              <w:spacing w:line="400" w:lineRule="exact"/>
              <w:rPr>
                <w:rFonts w:ascii="仿宋" w:hAnsi="仿宋" w:eastAsia="仿宋" w:cs="宋体"/>
                <w:color w:val="000000"/>
                <w:kern w:val="0"/>
                <w:szCs w:val="21"/>
              </w:rPr>
            </w:pPr>
          </w:p>
        </w:tc>
        <w:tc>
          <w:tcPr>
            <w:tcW w:w="1276" w:type="dxa"/>
            <w:vMerge w:val="continue"/>
            <w:tcBorders>
              <w:tl2br w:val="nil"/>
              <w:tr2bl w:val="nil"/>
            </w:tcBorders>
            <w:shd w:val="clear" w:color="auto" w:fill="auto"/>
            <w:vAlign w:val="center"/>
          </w:tcPr>
          <w:p>
            <w:pPr>
              <w:spacing w:line="400" w:lineRule="exact"/>
              <w:jc w:val="center"/>
              <w:rPr>
                <w:rFonts w:ascii="仿宋" w:hAnsi="仿宋" w:eastAsia="仿宋" w:cs="宋体"/>
                <w:color w:val="000000"/>
                <w:kern w:val="0"/>
                <w:szCs w:val="21"/>
              </w:rPr>
            </w:pPr>
          </w:p>
        </w:tc>
        <w:tc>
          <w:tcPr>
            <w:tcW w:w="5344" w:type="dxa"/>
            <w:tcBorders>
              <w:tl2br w:val="nil"/>
              <w:tr2bl w:val="nil"/>
            </w:tcBorders>
            <w:shd w:val="clear" w:color="auto" w:fill="auto"/>
            <w:vAlign w:val="center"/>
          </w:tcPr>
          <w:p>
            <w:pPr>
              <w:spacing w:line="40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共1分。1、积极配合办理财政国库管理业务，及时解决上月度相关问题的，得0.5分，否则扣0.5分；2、每期操作时上月度未发生系统风险事件的，得0.5分，否则扣0.5分。</w:t>
            </w:r>
          </w:p>
        </w:tc>
        <w:tc>
          <w:tcPr>
            <w:tcW w:w="1602" w:type="dxa"/>
            <w:vMerge w:val="continue"/>
            <w:tcBorders>
              <w:tl2br w:val="nil"/>
              <w:tr2bl w:val="nil"/>
            </w:tcBorders>
            <w:shd w:val="clear" w:color="auto" w:fill="auto"/>
          </w:tcPr>
          <w:p>
            <w:pPr>
              <w:spacing w:line="400" w:lineRule="exact"/>
              <w:jc w:val="left"/>
              <w:rPr>
                <w:rFonts w:ascii="仿宋" w:hAnsi="仿宋" w:eastAsia="仿宋"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1071" w:hRule="atLeast"/>
        </w:trPr>
        <w:tc>
          <w:tcPr>
            <w:tcW w:w="993" w:type="dxa"/>
            <w:vMerge w:val="continue"/>
            <w:tcBorders>
              <w:tl2br w:val="nil"/>
              <w:tr2bl w:val="nil"/>
            </w:tcBorders>
            <w:shd w:val="clear" w:color="auto" w:fill="auto"/>
            <w:vAlign w:val="center"/>
          </w:tcPr>
          <w:p>
            <w:pPr>
              <w:spacing w:line="400" w:lineRule="exact"/>
              <w:rPr>
                <w:rFonts w:ascii="仿宋" w:hAnsi="仿宋" w:eastAsia="仿宋" w:cs="宋体"/>
                <w:color w:val="000000"/>
                <w:kern w:val="0"/>
                <w:szCs w:val="21"/>
              </w:rPr>
            </w:pPr>
          </w:p>
        </w:tc>
        <w:tc>
          <w:tcPr>
            <w:tcW w:w="1276" w:type="dxa"/>
            <w:vMerge w:val="continue"/>
            <w:tcBorders>
              <w:tl2br w:val="nil"/>
              <w:tr2bl w:val="nil"/>
            </w:tcBorders>
            <w:shd w:val="clear" w:color="auto" w:fill="auto"/>
            <w:vAlign w:val="center"/>
          </w:tcPr>
          <w:p>
            <w:pPr>
              <w:widowControl/>
              <w:spacing w:line="400" w:lineRule="exact"/>
              <w:jc w:val="center"/>
              <w:rPr>
                <w:rFonts w:ascii="仿宋" w:hAnsi="仿宋" w:eastAsia="仿宋" w:cs="宋体"/>
                <w:color w:val="000000"/>
                <w:kern w:val="0"/>
                <w:szCs w:val="21"/>
              </w:rPr>
            </w:pPr>
          </w:p>
        </w:tc>
        <w:tc>
          <w:tcPr>
            <w:tcW w:w="5344" w:type="dxa"/>
            <w:tcBorders>
              <w:tl2br w:val="nil"/>
              <w:tr2bl w:val="nil"/>
            </w:tcBorders>
            <w:shd w:val="clear" w:color="auto" w:fill="auto"/>
            <w:vAlign w:val="center"/>
          </w:tcPr>
          <w:p>
            <w:pPr>
              <w:spacing w:line="40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共1分。根据每期操作时上月度参与银行核心业务系统与省财政银行账户资金运行管理系统数据对接及数据共享情况评分。每日按时上传得满分，一日未上传扣0.1分，扣完为止。</w:t>
            </w:r>
          </w:p>
        </w:tc>
        <w:tc>
          <w:tcPr>
            <w:tcW w:w="1602" w:type="dxa"/>
            <w:vMerge w:val="continue"/>
            <w:tcBorders>
              <w:tl2br w:val="nil"/>
              <w:tr2bl w:val="nil"/>
            </w:tcBorders>
            <w:shd w:val="clear" w:color="auto" w:fill="auto"/>
          </w:tcPr>
          <w:p>
            <w:pPr>
              <w:spacing w:line="400" w:lineRule="exact"/>
              <w:jc w:val="left"/>
              <w:rPr>
                <w:rFonts w:ascii="仿宋" w:hAnsi="仿宋" w:eastAsia="仿宋"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780" w:hRule="atLeast"/>
        </w:trPr>
        <w:tc>
          <w:tcPr>
            <w:tcW w:w="993" w:type="dxa"/>
            <w:vMerge w:val="continue"/>
            <w:tcBorders>
              <w:tl2br w:val="nil"/>
              <w:tr2bl w:val="nil"/>
            </w:tcBorders>
            <w:shd w:val="clear" w:color="auto" w:fill="auto"/>
            <w:vAlign w:val="center"/>
          </w:tcPr>
          <w:p>
            <w:pPr>
              <w:widowControl/>
              <w:spacing w:line="400" w:lineRule="exact"/>
              <w:jc w:val="center"/>
              <w:rPr>
                <w:rFonts w:ascii="仿宋" w:hAnsi="仿宋" w:eastAsia="仿宋" w:cs="宋体"/>
                <w:color w:val="000000"/>
                <w:kern w:val="0"/>
                <w:szCs w:val="21"/>
              </w:rPr>
            </w:pPr>
          </w:p>
        </w:tc>
        <w:tc>
          <w:tcPr>
            <w:tcW w:w="1276" w:type="dxa"/>
            <w:vMerge w:val="restart"/>
            <w:tcBorders>
              <w:tl2br w:val="nil"/>
              <w:tr2bl w:val="nil"/>
            </w:tcBorders>
            <w:shd w:val="clear" w:color="auto" w:fill="auto"/>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服务人民银行国库管理业务（5分)</w:t>
            </w:r>
          </w:p>
        </w:tc>
        <w:tc>
          <w:tcPr>
            <w:tcW w:w="5344" w:type="dxa"/>
            <w:tcBorders>
              <w:tl2br w:val="nil"/>
              <w:tr2bl w:val="nil"/>
            </w:tcBorders>
            <w:shd w:val="clear" w:color="auto" w:fill="auto"/>
            <w:vAlign w:val="center"/>
          </w:tcPr>
          <w:p>
            <w:pPr>
              <w:widowControl/>
              <w:spacing w:line="40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共1分。未按规定及时报备省级国库现金管理相关账户等相关资料；或未按照制度要求设置和使用省级国库现金管理相关账户的，一经发现，在当年度每期操作时，均扣1分。</w:t>
            </w:r>
          </w:p>
        </w:tc>
        <w:tc>
          <w:tcPr>
            <w:tcW w:w="1602" w:type="dxa"/>
            <w:vMerge w:val="restart"/>
            <w:tcBorders>
              <w:tl2br w:val="nil"/>
              <w:tr2bl w:val="nil"/>
            </w:tcBorders>
            <w:shd w:val="clear" w:color="auto" w:fill="auto"/>
          </w:tcPr>
          <w:p>
            <w:pPr>
              <w:widowControl/>
              <w:spacing w:line="400" w:lineRule="exact"/>
              <w:jc w:val="left"/>
              <w:rPr>
                <w:rFonts w:ascii="仿宋" w:hAnsi="仿宋" w:eastAsia="仿宋"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780" w:hRule="atLeast"/>
        </w:trPr>
        <w:tc>
          <w:tcPr>
            <w:tcW w:w="993" w:type="dxa"/>
            <w:vMerge w:val="continue"/>
            <w:tcBorders>
              <w:tl2br w:val="nil"/>
              <w:tr2bl w:val="nil"/>
            </w:tcBorders>
            <w:shd w:val="clear" w:color="auto" w:fill="auto"/>
            <w:vAlign w:val="center"/>
          </w:tcPr>
          <w:p>
            <w:pPr>
              <w:widowControl/>
              <w:spacing w:line="400" w:lineRule="exact"/>
              <w:jc w:val="center"/>
              <w:rPr>
                <w:rFonts w:ascii="仿宋" w:hAnsi="仿宋" w:eastAsia="仿宋" w:cs="宋体"/>
                <w:color w:val="000000"/>
                <w:kern w:val="0"/>
                <w:szCs w:val="21"/>
              </w:rPr>
            </w:pPr>
          </w:p>
        </w:tc>
        <w:tc>
          <w:tcPr>
            <w:tcW w:w="1276" w:type="dxa"/>
            <w:vMerge w:val="continue"/>
            <w:tcBorders>
              <w:tl2br w:val="nil"/>
              <w:tr2bl w:val="nil"/>
            </w:tcBorders>
            <w:shd w:val="clear" w:color="auto" w:fill="auto"/>
            <w:vAlign w:val="center"/>
          </w:tcPr>
          <w:p>
            <w:pPr>
              <w:widowControl/>
              <w:spacing w:line="400" w:lineRule="exact"/>
              <w:jc w:val="center"/>
              <w:rPr>
                <w:rFonts w:ascii="仿宋" w:hAnsi="仿宋" w:eastAsia="仿宋" w:cs="宋体"/>
                <w:color w:val="000000"/>
                <w:kern w:val="0"/>
                <w:szCs w:val="21"/>
              </w:rPr>
            </w:pPr>
          </w:p>
        </w:tc>
        <w:tc>
          <w:tcPr>
            <w:tcW w:w="5344" w:type="dxa"/>
            <w:tcBorders>
              <w:tl2br w:val="nil"/>
              <w:tr2bl w:val="nil"/>
            </w:tcBorders>
            <w:shd w:val="clear" w:color="auto" w:fill="auto"/>
            <w:vAlign w:val="center"/>
          </w:tcPr>
          <w:p>
            <w:pPr>
              <w:widowControl/>
              <w:spacing w:line="40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共2分。定期存款到期时，未能在约定时间及时划转本金或利息的，每次扣1分，扣完为止。</w:t>
            </w:r>
          </w:p>
        </w:tc>
        <w:tc>
          <w:tcPr>
            <w:tcW w:w="1602" w:type="dxa"/>
            <w:vMerge w:val="continue"/>
            <w:tcBorders>
              <w:tl2br w:val="nil"/>
              <w:tr2bl w:val="nil"/>
            </w:tcBorders>
            <w:shd w:val="clear" w:color="auto" w:fill="auto"/>
          </w:tcPr>
          <w:p>
            <w:pPr>
              <w:widowControl/>
              <w:spacing w:line="400" w:lineRule="exact"/>
              <w:jc w:val="left"/>
              <w:rPr>
                <w:rFonts w:ascii="仿宋" w:hAnsi="仿宋" w:eastAsia="仿宋"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686" w:hRule="atLeast"/>
        </w:trPr>
        <w:tc>
          <w:tcPr>
            <w:tcW w:w="993" w:type="dxa"/>
            <w:vMerge w:val="continue"/>
            <w:tcBorders>
              <w:tl2br w:val="nil"/>
              <w:tr2bl w:val="nil"/>
            </w:tcBorders>
            <w:shd w:val="clear" w:color="auto" w:fill="auto"/>
            <w:vAlign w:val="center"/>
          </w:tcPr>
          <w:p>
            <w:pPr>
              <w:widowControl/>
              <w:spacing w:line="400" w:lineRule="exact"/>
              <w:jc w:val="center"/>
              <w:rPr>
                <w:rFonts w:ascii="仿宋" w:hAnsi="仿宋" w:eastAsia="仿宋" w:cs="宋体"/>
                <w:color w:val="000000"/>
                <w:kern w:val="0"/>
                <w:szCs w:val="21"/>
              </w:rPr>
            </w:pPr>
          </w:p>
        </w:tc>
        <w:tc>
          <w:tcPr>
            <w:tcW w:w="1276" w:type="dxa"/>
            <w:vMerge w:val="continue"/>
            <w:tcBorders>
              <w:tl2br w:val="nil"/>
              <w:tr2bl w:val="nil"/>
            </w:tcBorders>
            <w:shd w:val="clear" w:color="auto" w:fill="auto"/>
            <w:vAlign w:val="center"/>
          </w:tcPr>
          <w:p>
            <w:pPr>
              <w:widowControl/>
              <w:spacing w:line="400" w:lineRule="exact"/>
              <w:jc w:val="center"/>
              <w:rPr>
                <w:rFonts w:ascii="仿宋" w:hAnsi="仿宋" w:eastAsia="仿宋" w:cs="宋体"/>
                <w:color w:val="000000"/>
                <w:kern w:val="0"/>
                <w:szCs w:val="21"/>
              </w:rPr>
            </w:pPr>
          </w:p>
        </w:tc>
        <w:tc>
          <w:tcPr>
            <w:tcW w:w="5344" w:type="dxa"/>
            <w:tcBorders>
              <w:tl2br w:val="nil"/>
              <w:tr2bl w:val="nil"/>
            </w:tcBorders>
            <w:shd w:val="clear" w:color="auto" w:fill="auto"/>
            <w:vAlign w:val="center"/>
          </w:tcPr>
          <w:p>
            <w:pPr>
              <w:widowControl/>
              <w:spacing w:line="40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共1分。定期存款到期时，未能在约定时间及时送达填列正确利息缴款书的，每次扣0.5分，扣完为止。</w:t>
            </w:r>
          </w:p>
        </w:tc>
        <w:tc>
          <w:tcPr>
            <w:tcW w:w="1602" w:type="dxa"/>
            <w:vMerge w:val="continue"/>
            <w:tcBorders>
              <w:tl2br w:val="nil"/>
              <w:tr2bl w:val="nil"/>
            </w:tcBorders>
            <w:shd w:val="clear" w:color="auto" w:fill="auto"/>
          </w:tcPr>
          <w:p>
            <w:pPr>
              <w:widowControl/>
              <w:spacing w:line="400" w:lineRule="exact"/>
              <w:jc w:val="left"/>
              <w:rPr>
                <w:rFonts w:ascii="仿宋" w:hAnsi="仿宋" w:eastAsia="仿宋"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780" w:hRule="atLeast"/>
        </w:trPr>
        <w:tc>
          <w:tcPr>
            <w:tcW w:w="993" w:type="dxa"/>
            <w:vMerge w:val="continue"/>
            <w:tcBorders>
              <w:tl2br w:val="nil"/>
              <w:tr2bl w:val="nil"/>
            </w:tcBorders>
            <w:shd w:val="clear" w:color="auto" w:fill="auto"/>
            <w:vAlign w:val="center"/>
          </w:tcPr>
          <w:p>
            <w:pPr>
              <w:widowControl/>
              <w:spacing w:line="400" w:lineRule="exact"/>
              <w:jc w:val="center"/>
              <w:rPr>
                <w:rFonts w:ascii="仿宋" w:hAnsi="仿宋" w:eastAsia="仿宋" w:cs="宋体"/>
                <w:color w:val="000000"/>
                <w:kern w:val="0"/>
                <w:szCs w:val="21"/>
              </w:rPr>
            </w:pPr>
          </w:p>
        </w:tc>
        <w:tc>
          <w:tcPr>
            <w:tcW w:w="1276" w:type="dxa"/>
            <w:vMerge w:val="continue"/>
            <w:tcBorders>
              <w:tl2br w:val="nil"/>
              <w:tr2bl w:val="nil"/>
            </w:tcBorders>
            <w:shd w:val="clear" w:color="auto" w:fill="auto"/>
            <w:vAlign w:val="center"/>
          </w:tcPr>
          <w:p>
            <w:pPr>
              <w:widowControl/>
              <w:spacing w:line="400" w:lineRule="exact"/>
              <w:jc w:val="center"/>
              <w:rPr>
                <w:rFonts w:ascii="仿宋" w:hAnsi="仿宋" w:eastAsia="仿宋" w:cs="宋体"/>
                <w:color w:val="000000"/>
                <w:kern w:val="0"/>
                <w:szCs w:val="21"/>
              </w:rPr>
            </w:pPr>
          </w:p>
        </w:tc>
        <w:tc>
          <w:tcPr>
            <w:tcW w:w="5344" w:type="dxa"/>
            <w:tcBorders>
              <w:tl2br w:val="nil"/>
              <w:tr2bl w:val="nil"/>
            </w:tcBorders>
            <w:shd w:val="clear" w:color="auto" w:fill="auto"/>
            <w:vAlign w:val="center"/>
          </w:tcPr>
          <w:p>
            <w:pPr>
              <w:widowControl/>
              <w:spacing w:line="40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共1分。配合省级国库集中支付等业务开展情况，出现差错的，每次扣0.2分。</w:t>
            </w:r>
          </w:p>
        </w:tc>
        <w:tc>
          <w:tcPr>
            <w:tcW w:w="1602" w:type="dxa"/>
            <w:vMerge w:val="continue"/>
            <w:tcBorders>
              <w:tl2br w:val="nil"/>
              <w:tr2bl w:val="nil"/>
            </w:tcBorders>
            <w:shd w:val="clear" w:color="auto" w:fill="auto"/>
          </w:tcPr>
          <w:p>
            <w:pPr>
              <w:widowControl/>
              <w:spacing w:line="400" w:lineRule="exact"/>
              <w:jc w:val="left"/>
              <w:rPr>
                <w:rFonts w:ascii="仿宋" w:hAnsi="仿宋" w:eastAsia="仿宋"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1160" w:hRule="atLeast"/>
        </w:trPr>
        <w:tc>
          <w:tcPr>
            <w:tcW w:w="993" w:type="dxa"/>
            <w:vMerge w:val="restart"/>
            <w:tcBorders>
              <w:tl2br w:val="nil"/>
              <w:tr2bl w:val="nil"/>
            </w:tcBorders>
            <w:shd w:val="clear" w:color="auto" w:fill="auto"/>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扣分</w:t>
            </w:r>
          </w:p>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事项</w:t>
            </w:r>
          </w:p>
        </w:tc>
        <w:tc>
          <w:tcPr>
            <w:tcW w:w="1276" w:type="dxa"/>
            <w:tcBorders>
              <w:tl2br w:val="nil"/>
              <w:tr2bl w:val="nil"/>
            </w:tcBorders>
            <w:shd w:val="clear" w:color="auto" w:fill="auto"/>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投标文件</w:t>
            </w:r>
          </w:p>
        </w:tc>
        <w:tc>
          <w:tcPr>
            <w:tcW w:w="5344" w:type="dxa"/>
            <w:tcBorders>
              <w:tl2br w:val="nil"/>
              <w:tr2bl w:val="nil"/>
            </w:tcBorders>
            <w:shd w:val="clear" w:color="auto" w:fill="auto"/>
            <w:vAlign w:val="center"/>
          </w:tcPr>
          <w:p>
            <w:pPr>
              <w:widowControl/>
              <w:spacing w:line="400" w:lineRule="exact"/>
              <w:jc w:val="left"/>
              <w:rPr>
                <w:rFonts w:ascii="仿宋" w:hAnsi="仿宋" w:eastAsia="仿宋" w:cs="宋体"/>
                <w:color w:val="000000"/>
                <w:kern w:val="0"/>
                <w:szCs w:val="21"/>
              </w:rPr>
            </w:pPr>
            <w:r>
              <w:rPr>
                <w:rFonts w:ascii="仿宋" w:hAnsi="仿宋" w:eastAsia="仿宋" w:cs="宋体"/>
                <w:color w:val="000000"/>
                <w:kern w:val="0"/>
                <w:szCs w:val="21"/>
              </w:rPr>
              <w:t>1</w:t>
            </w:r>
            <w:r>
              <w:rPr>
                <w:rFonts w:hint="eastAsia" w:ascii="仿宋" w:hAnsi="仿宋" w:eastAsia="仿宋" w:cs="宋体"/>
                <w:color w:val="000000"/>
                <w:kern w:val="0"/>
                <w:szCs w:val="21"/>
              </w:rPr>
              <w:t>.未胶装扣</w:t>
            </w:r>
            <w:r>
              <w:rPr>
                <w:rFonts w:ascii="仿宋" w:hAnsi="仿宋" w:eastAsia="仿宋" w:cs="宋体"/>
                <w:color w:val="000000"/>
                <w:kern w:val="0"/>
                <w:szCs w:val="21"/>
              </w:rPr>
              <w:t>10</w:t>
            </w:r>
            <w:r>
              <w:rPr>
                <w:rFonts w:hint="eastAsia" w:ascii="仿宋" w:hAnsi="仿宋" w:eastAsia="仿宋" w:cs="宋体"/>
                <w:color w:val="000000"/>
                <w:kern w:val="0"/>
                <w:szCs w:val="21"/>
              </w:rPr>
              <w:t>分；</w:t>
            </w:r>
            <w:r>
              <w:rPr>
                <w:rFonts w:ascii="仿宋" w:hAnsi="仿宋" w:eastAsia="仿宋" w:cs="宋体"/>
                <w:color w:val="000000"/>
                <w:kern w:val="0"/>
                <w:szCs w:val="21"/>
              </w:rPr>
              <w:t>2</w:t>
            </w:r>
            <w:r>
              <w:rPr>
                <w:rFonts w:hint="eastAsia" w:ascii="仿宋" w:hAnsi="仿宋" w:eastAsia="仿宋" w:cs="宋体"/>
                <w:color w:val="000000"/>
                <w:kern w:val="0"/>
                <w:szCs w:val="21"/>
              </w:rPr>
              <w:t>.无目录扣</w:t>
            </w:r>
            <w:r>
              <w:rPr>
                <w:rFonts w:ascii="仿宋" w:hAnsi="仿宋" w:eastAsia="仿宋" w:cs="宋体"/>
                <w:color w:val="000000"/>
                <w:kern w:val="0"/>
                <w:szCs w:val="21"/>
              </w:rPr>
              <w:t>5</w:t>
            </w:r>
            <w:r>
              <w:rPr>
                <w:rFonts w:hint="eastAsia" w:ascii="仿宋" w:hAnsi="仿宋" w:eastAsia="仿宋" w:cs="宋体"/>
                <w:color w:val="000000"/>
                <w:kern w:val="0"/>
                <w:szCs w:val="21"/>
              </w:rPr>
              <w:t>分；</w:t>
            </w:r>
            <w:r>
              <w:rPr>
                <w:rFonts w:ascii="仿宋" w:hAnsi="仿宋" w:eastAsia="仿宋" w:cs="宋体"/>
                <w:color w:val="000000"/>
                <w:kern w:val="0"/>
                <w:szCs w:val="21"/>
              </w:rPr>
              <w:t>3</w:t>
            </w:r>
            <w:r>
              <w:rPr>
                <w:rFonts w:hint="eastAsia" w:ascii="仿宋" w:hAnsi="仿宋" w:eastAsia="仿宋" w:cs="宋体"/>
                <w:color w:val="000000"/>
                <w:kern w:val="0"/>
                <w:szCs w:val="21"/>
              </w:rPr>
              <w:t>.未按规定签字、盖章的，每项扣</w:t>
            </w:r>
            <w:r>
              <w:rPr>
                <w:rFonts w:ascii="仿宋" w:hAnsi="仿宋" w:eastAsia="仿宋" w:cs="宋体"/>
                <w:color w:val="000000"/>
                <w:kern w:val="0"/>
                <w:szCs w:val="21"/>
              </w:rPr>
              <w:t>1</w:t>
            </w:r>
            <w:r>
              <w:rPr>
                <w:rFonts w:hint="eastAsia" w:ascii="仿宋" w:hAnsi="仿宋" w:eastAsia="仿宋" w:cs="宋体"/>
                <w:color w:val="000000"/>
                <w:kern w:val="0"/>
                <w:szCs w:val="21"/>
              </w:rPr>
              <w:t>分；</w:t>
            </w:r>
            <w:r>
              <w:rPr>
                <w:rFonts w:ascii="仿宋" w:hAnsi="仿宋" w:eastAsia="仿宋" w:cs="宋体"/>
                <w:color w:val="000000"/>
                <w:kern w:val="0"/>
                <w:szCs w:val="21"/>
              </w:rPr>
              <w:t>4</w:t>
            </w:r>
            <w:r>
              <w:rPr>
                <w:rFonts w:hint="eastAsia" w:ascii="仿宋" w:hAnsi="仿宋" w:eastAsia="仿宋" w:cs="宋体"/>
                <w:color w:val="000000"/>
                <w:kern w:val="0"/>
                <w:szCs w:val="21"/>
              </w:rPr>
              <w:t>.投标文件内容顺序混乱扣</w:t>
            </w:r>
            <w:r>
              <w:rPr>
                <w:rFonts w:ascii="仿宋" w:hAnsi="仿宋" w:eastAsia="仿宋" w:cs="宋体"/>
                <w:color w:val="000000"/>
                <w:kern w:val="0"/>
                <w:szCs w:val="21"/>
              </w:rPr>
              <w:t>1</w:t>
            </w:r>
            <w:r>
              <w:rPr>
                <w:rFonts w:hint="eastAsia" w:ascii="仿宋" w:hAnsi="仿宋" w:eastAsia="仿宋" w:cs="宋体"/>
                <w:color w:val="000000"/>
                <w:kern w:val="0"/>
                <w:szCs w:val="21"/>
              </w:rPr>
              <w:t>分；</w:t>
            </w:r>
            <w:r>
              <w:rPr>
                <w:rFonts w:ascii="仿宋" w:hAnsi="仿宋" w:eastAsia="仿宋" w:cs="宋体"/>
                <w:color w:val="000000"/>
                <w:kern w:val="0"/>
                <w:szCs w:val="21"/>
              </w:rPr>
              <w:t>5</w:t>
            </w:r>
            <w:r>
              <w:rPr>
                <w:rFonts w:hint="eastAsia" w:ascii="仿宋" w:hAnsi="仿宋" w:eastAsia="仿宋" w:cs="宋体"/>
                <w:color w:val="000000"/>
                <w:kern w:val="0"/>
                <w:szCs w:val="21"/>
              </w:rPr>
              <w:t>.其他不符合规定的事项，由评标小组确定扣分项。</w:t>
            </w:r>
          </w:p>
        </w:tc>
        <w:tc>
          <w:tcPr>
            <w:tcW w:w="1602" w:type="dxa"/>
            <w:vMerge w:val="restart"/>
            <w:tcBorders>
              <w:tl2br w:val="nil"/>
              <w:tr2bl w:val="nil"/>
            </w:tcBorders>
            <w:shd w:val="clear" w:color="auto" w:fill="auto"/>
          </w:tcPr>
          <w:p>
            <w:pPr>
              <w:widowControl/>
              <w:spacing w:line="400" w:lineRule="exact"/>
              <w:jc w:val="left"/>
              <w:rPr>
                <w:rFonts w:ascii="仿宋" w:hAnsi="仿宋" w:eastAsia="仿宋"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530" w:hRule="atLeast"/>
        </w:trPr>
        <w:tc>
          <w:tcPr>
            <w:tcW w:w="993" w:type="dxa"/>
            <w:vMerge w:val="continue"/>
            <w:tcBorders>
              <w:tl2br w:val="nil"/>
              <w:tr2bl w:val="nil"/>
            </w:tcBorders>
            <w:shd w:val="clear" w:color="auto" w:fill="auto"/>
            <w:vAlign w:val="center"/>
          </w:tcPr>
          <w:p>
            <w:pPr>
              <w:widowControl/>
              <w:spacing w:line="400" w:lineRule="exact"/>
              <w:jc w:val="center"/>
              <w:rPr>
                <w:rFonts w:ascii="仿宋" w:hAnsi="仿宋" w:eastAsia="仿宋" w:cs="宋体"/>
                <w:color w:val="000000"/>
                <w:kern w:val="0"/>
                <w:szCs w:val="21"/>
              </w:rPr>
            </w:pPr>
          </w:p>
        </w:tc>
        <w:tc>
          <w:tcPr>
            <w:tcW w:w="1276" w:type="dxa"/>
            <w:tcBorders>
              <w:tl2br w:val="nil"/>
              <w:tr2bl w:val="nil"/>
            </w:tcBorders>
            <w:shd w:val="clear" w:color="auto" w:fill="auto"/>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资料送达</w:t>
            </w:r>
          </w:p>
        </w:tc>
        <w:tc>
          <w:tcPr>
            <w:tcW w:w="5344" w:type="dxa"/>
            <w:tcBorders>
              <w:tl2br w:val="nil"/>
              <w:tr2bl w:val="nil"/>
            </w:tcBorders>
            <w:shd w:val="clear" w:color="auto" w:fill="auto"/>
            <w:vAlign w:val="center"/>
          </w:tcPr>
          <w:p>
            <w:pPr>
              <w:widowControl/>
              <w:spacing w:line="40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未按时送达国库现金管理对账单和余额表的，每项每次扣1分。</w:t>
            </w:r>
          </w:p>
        </w:tc>
        <w:tc>
          <w:tcPr>
            <w:tcW w:w="1602" w:type="dxa"/>
            <w:vMerge w:val="continue"/>
            <w:tcBorders>
              <w:tl2br w:val="nil"/>
              <w:tr2bl w:val="nil"/>
            </w:tcBorders>
            <w:shd w:val="clear" w:color="auto" w:fill="auto"/>
          </w:tcPr>
          <w:p>
            <w:pPr>
              <w:widowControl/>
              <w:spacing w:line="400" w:lineRule="exact"/>
              <w:jc w:val="center"/>
              <w:rPr>
                <w:rFonts w:ascii="仿宋" w:hAnsi="仿宋" w:eastAsia="仿宋"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530" w:hRule="atLeast"/>
        </w:trPr>
        <w:tc>
          <w:tcPr>
            <w:tcW w:w="993" w:type="dxa"/>
            <w:vMerge w:val="continue"/>
            <w:tcBorders>
              <w:tl2br w:val="nil"/>
              <w:tr2bl w:val="nil"/>
            </w:tcBorders>
            <w:shd w:val="clear" w:color="auto" w:fill="auto"/>
            <w:vAlign w:val="center"/>
          </w:tcPr>
          <w:p>
            <w:pPr>
              <w:widowControl/>
              <w:spacing w:line="400" w:lineRule="exact"/>
              <w:jc w:val="center"/>
              <w:rPr>
                <w:rFonts w:ascii="仿宋" w:hAnsi="仿宋" w:eastAsia="仿宋" w:cs="宋体"/>
                <w:color w:val="000000"/>
                <w:kern w:val="0"/>
                <w:szCs w:val="21"/>
              </w:rPr>
            </w:pPr>
          </w:p>
        </w:tc>
        <w:tc>
          <w:tcPr>
            <w:tcW w:w="1276" w:type="dxa"/>
            <w:tcBorders>
              <w:tl2br w:val="nil"/>
              <w:tr2bl w:val="nil"/>
            </w:tcBorders>
            <w:shd w:val="clear" w:color="auto" w:fill="auto"/>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数据</w:t>
            </w:r>
          </w:p>
        </w:tc>
        <w:tc>
          <w:tcPr>
            <w:tcW w:w="5344" w:type="dxa"/>
            <w:tcBorders>
              <w:tl2br w:val="nil"/>
              <w:tr2bl w:val="nil"/>
            </w:tcBorders>
            <w:shd w:val="clear" w:color="auto" w:fill="auto"/>
            <w:vAlign w:val="center"/>
          </w:tcPr>
          <w:p>
            <w:pPr>
              <w:widowControl/>
              <w:spacing w:line="40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报送数据与监管机构数据存在不一致的，每项扣1分。</w:t>
            </w:r>
          </w:p>
        </w:tc>
        <w:tc>
          <w:tcPr>
            <w:tcW w:w="1602" w:type="dxa"/>
            <w:vMerge w:val="continue"/>
            <w:tcBorders>
              <w:tl2br w:val="nil"/>
              <w:tr2bl w:val="nil"/>
            </w:tcBorders>
            <w:shd w:val="clear" w:color="auto" w:fill="auto"/>
          </w:tcPr>
          <w:p>
            <w:pPr>
              <w:widowControl/>
              <w:spacing w:line="400" w:lineRule="exact"/>
              <w:jc w:val="center"/>
              <w:rPr>
                <w:rFonts w:ascii="仿宋" w:hAnsi="仿宋" w:eastAsia="仿宋"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706" w:hRule="atLeast"/>
        </w:trPr>
        <w:tc>
          <w:tcPr>
            <w:tcW w:w="993" w:type="dxa"/>
            <w:vMerge w:val="continue"/>
            <w:tcBorders>
              <w:tl2br w:val="nil"/>
              <w:tr2bl w:val="nil"/>
            </w:tcBorders>
            <w:shd w:val="clear" w:color="auto" w:fill="auto"/>
            <w:vAlign w:val="center"/>
          </w:tcPr>
          <w:p>
            <w:pPr>
              <w:widowControl/>
              <w:spacing w:line="400" w:lineRule="exact"/>
              <w:jc w:val="center"/>
              <w:rPr>
                <w:rFonts w:ascii="仿宋" w:hAnsi="仿宋" w:eastAsia="仿宋" w:cs="宋体"/>
                <w:color w:val="000000"/>
                <w:kern w:val="0"/>
                <w:szCs w:val="21"/>
              </w:rPr>
            </w:pPr>
          </w:p>
        </w:tc>
        <w:tc>
          <w:tcPr>
            <w:tcW w:w="1276" w:type="dxa"/>
            <w:tcBorders>
              <w:tl2br w:val="nil"/>
              <w:tr2bl w:val="nil"/>
            </w:tcBorders>
            <w:shd w:val="clear" w:color="auto" w:fill="auto"/>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工作配合</w:t>
            </w:r>
          </w:p>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情况</w:t>
            </w:r>
          </w:p>
        </w:tc>
        <w:tc>
          <w:tcPr>
            <w:tcW w:w="5344" w:type="dxa"/>
            <w:tcBorders>
              <w:tl2br w:val="nil"/>
              <w:tr2bl w:val="nil"/>
            </w:tcBorders>
            <w:shd w:val="clear" w:color="auto" w:fill="auto"/>
            <w:vAlign w:val="center"/>
          </w:tcPr>
          <w:p>
            <w:pPr>
              <w:widowControl/>
              <w:spacing w:line="40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未配备专门机构和人员衔接财政国库管理相关工作的，</w:t>
            </w:r>
          </w:p>
          <w:p>
            <w:pPr>
              <w:widowControl/>
              <w:spacing w:line="40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扣1分。</w:t>
            </w:r>
          </w:p>
        </w:tc>
        <w:tc>
          <w:tcPr>
            <w:tcW w:w="1602" w:type="dxa"/>
            <w:vMerge w:val="continue"/>
            <w:tcBorders>
              <w:tl2br w:val="nil"/>
              <w:tr2bl w:val="nil"/>
            </w:tcBorders>
            <w:shd w:val="clear" w:color="auto" w:fill="auto"/>
          </w:tcPr>
          <w:p>
            <w:pPr>
              <w:widowControl/>
              <w:spacing w:line="400" w:lineRule="exact"/>
              <w:jc w:val="center"/>
              <w:rPr>
                <w:rFonts w:ascii="仿宋" w:hAnsi="仿宋" w:eastAsia="仿宋" w:cs="宋体"/>
                <w:color w:val="000000"/>
                <w:kern w:val="0"/>
                <w:szCs w:val="21"/>
              </w:rPr>
            </w:pPr>
          </w:p>
        </w:tc>
      </w:tr>
    </w:tbl>
    <w:p/>
    <w:p>
      <w:pPr>
        <w:widowControl/>
        <w:ind w:firstLine="420" w:firstLineChars="15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）根据资料进行计算并将评分填入《</w:t>
      </w:r>
      <w:r>
        <w:rPr>
          <w:rFonts w:ascii="仿宋" w:hAnsi="仿宋" w:eastAsia="仿宋"/>
          <w:sz w:val="28"/>
          <w:szCs w:val="28"/>
        </w:rPr>
        <w:t>20</w:t>
      </w:r>
      <w:r>
        <w:rPr>
          <w:rFonts w:hint="eastAsia" w:ascii="仿宋" w:hAnsi="仿宋" w:eastAsia="仿宋"/>
          <w:sz w:val="28"/>
          <w:szCs w:val="28"/>
        </w:rPr>
        <w:t>2</w:t>
      </w:r>
      <w:r>
        <w:rPr>
          <w:rFonts w:ascii="仿宋" w:hAnsi="仿宋" w:eastAsia="仿宋"/>
          <w:sz w:val="28"/>
          <w:szCs w:val="28"/>
        </w:rPr>
        <w:t>3</w:t>
      </w:r>
      <w:r>
        <w:rPr>
          <w:rFonts w:hint="eastAsia" w:ascii="仿宋" w:hAnsi="仿宋" w:eastAsia="仿宋"/>
          <w:sz w:val="28"/>
          <w:szCs w:val="28"/>
        </w:rPr>
        <w:t>年青海省省级国库现金管理考核评价测算表》并签名，评标小组成员评分表作为招标归档资料保存。</w:t>
      </w:r>
    </w:p>
    <w:p>
      <w:pPr>
        <w:ind w:firstLine="420" w:firstLineChars="15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）评分计算四舍五入保留两位小数。</w:t>
      </w:r>
    </w:p>
    <w:p>
      <w:pPr>
        <w:ind w:firstLine="420" w:firstLineChars="15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）评标小组成员独立完成打分并对打分承担个人责任。</w:t>
      </w:r>
    </w:p>
    <w:p>
      <w:pPr>
        <w:ind w:firstLine="420" w:firstLineChars="15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4</w:t>
      </w:r>
      <w:r>
        <w:rPr>
          <w:rFonts w:hint="eastAsia" w:ascii="仿宋" w:hAnsi="仿宋" w:eastAsia="仿宋"/>
          <w:sz w:val="28"/>
          <w:szCs w:val="28"/>
        </w:rPr>
        <w:t>）无效投标的投标人，不予打分。</w:t>
      </w:r>
    </w:p>
    <w:p>
      <w:pPr>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中标通知</w:t>
      </w:r>
    </w:p>
    <w:p>
      <w:pPr>
        <w:ind w:firstLine="560" w:firstLineChars="200"/>
        <w:rPr>
          <w:rFonts w:ascii="仿宋" w:hAnsi="仿宋" w:eastAsia="仿宋"/>
          <w:sz w:val="28"/>
          <w:szCs w:val="28"/>
        </w:rPr>
      </w:pPr>
      <w:r>
        <w:rPr>
          <w:rFonts w:hint="eastAsia" w:ascii="仿宋" w:hAnsi="仿宋" w:eastAsia="仿宋"/>
          <w:sz w:val="28"/>
          <w:szCs w:val="28"/>
        </w:rPr>
        <w:t>在投标有效期内，经招标人确定后，在青海省财政厅、中国人民银行西宁中心支行网站进行公告。</w:t>
      </w:r>
    </w:p>
    <w:p>
      <w:pPr>
        <w:rPr>
          <w:rFonts w:ascii="华文中宋" w:hAnsi="华文中宋" w:eastAsia="华文中宋"/>
          <w:sz w:val="28"/>
          <w:szCs w:val="28"/>
        </w:rPr>
      </w:pPr>
      <w:r>
        <w:rPr>
          <w:rFonts w:ascii="仿宋" w:hAnsi="仿宋" w:eastAsia="仿宋"/>
          <w:sz w:val="28"/>
          <w:szCs w:val="28"/>
        </w:rPr>
        <w:br w:type="page"/>
      </w:r>
    </w:p>
    <w:p>
      <w:pPr>
        <w:jc w:val="center"/>
        <w:rPr>
          <w:rFonts w:ascii="华文中宋" w:hAnsi="华文中宋" w:eastAsia="华文中宋"/>
          <w:sz w:val="32"/>
          <w:szCs w:val="32"/>
        </w:rPr>
      </w:pPr>
      <w:r>
        <w:rPr>
          <w:rFonts w:hint="eastAsia" w:ascii="华文中宋" w:hAnsi="华文中宋" w:eastAsia="华文中宋"/>
          <w:sz w:val="32"/>
          <w:szCs w:val="32"/>
        </w:rPr>
        <w:t>第三部分</w:t>
      </w:r>
      <w:r>
        <w:rPr>
          <w:rFonts w:ascii="华文中宋" w:hAnsi="华文中宋" w:eastAsia="华文中宋"/>
          <w:sz w:val="32"/>
          <w:szCs w:val="32"/>
        </w:rPr>
        <w:t xml:space="preserve"> </w:t>
      </w:r>
      <w:r>
        <w:rPr>
          <w:rFonts w:hint="eastAsia" w:ascii="华文中宋" w:hAnsi="华文中宋" w:eastAsia="华文中宋"/>
          <w:sz w:val="32"/>
          <w:szCs w:val="32"/>
        </w:rPr>
        <w:t>投标文件格式</w:t>
      </w:r>
    </w:p>
    <w:p>
      <w:pPr>
        <w:jc w:val="center"/>
        <w:rPr>
          <w:rFonts w:ascii="仿宋_GB2312" w:eastAsia="仿宋_GB2312"/>
          <w:sz w:val="28"/>
          <w:szCs w:val="28"/>
        </w:rPr>
      </w:pPr>
    </w:p>
    <w:p>
      <w:pPr>
        <w:jc w:val="center"/>
        <w:rPr>
          <w:rFonts w:ascii="仿宋_GB2312" w:eastAsia="仿宋_GB2312"/>
          <w:sz w:val="28"/>
          <w:szCs w:val="28"/>
        </w:rPr>
      </w:pPr>
    </w:p>
    <w:p>
      <w:pPr>
        <w:jc w:val="center"/>
        <w:rPr>
          <w:rFonts w:ascii="华文中宋" w:hAnsi="华文中宋" w:eastAsia="华文中宋"/>
          <w:sz w:val="28"/>
          <w:szCs w:val="28"/>
        </w:rPr>
      </w:pPr>
    </w:p>
    <w:p>
      <w:pPr>
        <w:spacing w:line="300" w:lineRule="exact"/>
        <w:jc w:val="center"/>
        <w:rPr>
          <w:rFonts w:ascii="华文中宋" w:hAnsi="华文中宋" w:eastAsia="华文中宋"/>
          <w:sz w:val="32"/>
          <w:szCs w:val="32"/>
        </w:rPr>
      </w:pPr>
      <w:r>
        <w:rPr>
          <w:rFonts w:hint="eastAsia" w:ascii="华文中宋" w:hAnsi="华文中宋" w:eastAsia="华文中宋"/>
          <w:sz w:val="32"/>
          <w:szCs w:val="32"/>
        </w:rPr>
        <w:t>投</w:t>
      </w:r>
      <w:r>
        <w:rPr>
          <w:rFonts w:ascii="华文中宋" w:hAnsi="华文中宋" w:eastAsia="华文中宋"/>
          <w:sz w:val="32"/>
          <w:szCs w:val="32"/>
        </w:rPr>
        <w:t xml:space="preserve"> </w:t>
      </w:r>
      <w:r>
        <w:rPr>
          <w:rFonts w:hint="eastAsia" w:ascii="华文中宋" w:hAnsi="华文中宋" w:eastAsia="华文中宋"/>
          <w:sz w:val="32"/>
          <w:szCs w:val="32"/>
        </w:rPr>
        <w:t>标</w:t>
      </w:r>
      <w:r>
        <w:rPr>
          <w:rFonts w:ascii="华文中宋" w:hAnsi="华文中宋" w:eastAsia="华文中宋"/>
          <w:sz w:val="32"/>
          <w:szCs w:val="32"/>
        </w:rPr>
        <w:t xml:space="preserve"> </w:t>
      </w:r>
      <w:r>
        <w:rPr>
          <w:rFonts w:hint="eastAsia" w:ascii="华文中宋" w:hAnsi="华文中宋" w:eastAsia="华文中宋"/>
          <w:sz w:val="32"/>
          <w:szCs w:val="32"/>
        </w:rPr>
        <w:t>文</w:t>
      </w:r>
      <w:r>
        <w:rPr>
          <w:rFonts w:ascii="华文中宋" w:hAnsi="华文中宋" w:eastAsia="华文中宋"/>
          <w:sz w:val="32"/>
          <w:szCs w:val="32"/>
        </w:rPr>
        <w:t xml:space="preserve"> </w:t>
      </w:r>
      <w:r>
        <w:rPr>
          <w:rFonts w:hint="eastAsia" w:ascii="华文中宋" w:hAnsi="华文中宋" w:eastAsia="华文中宋"/>
          <w:sz w:val="32"/>
          <w:szCs w:val="32"/>
        </w:rPr>
        <w:t>件</w:t>
      </w:r>
    </w:p>
    <w:p>
      <w:pPr>
        <w:spacing w:line="300" w:lineRule="exact"/>
        <w:jc w:val="center"/>
        <w:rPr>
          <w:rFonts w:ascii="华文中宋" w:hAnsi="华文中宋" w:eastAsia="华文中宋"/>
          <w:szCs w:val="21"/>
        </w:rPr>
      </w:pPr>
      <w:r>
        <w:rPr>
          <w:rFonts w:hint="eastAsia" w:ascii="华文中宋" w:hAnsi="华文中宋" w:eastAsia="华文中宋"/>
          <w:szCs w:val="21"/>
        </w:rPr>
        <w:t>正（副）本</w:t>
      </w:r>
    </w:p>
    <w:p>
      <w:pPr>
        <w:jc w:val="center"/>
        <w:rPr>
          <w:rFonts w:ascii="华文中宋" w:hAnsi="华文中宋" w:eastAsia="华文中宋"/>
          <w:sz w:val="28"/>
          <w:szCs w:val="28"/>
        </w:rPr>
      </w:pPr>
    </w:p>
    <w:p>
      <w:pPr>
        <w:jc w:val="center"/>
        <w:rPr>
          <w:rFonts w:ascii="华文中宋" w:hAnsi="华文中宋" w:eastAsia="华文中宋"/>
          <w:sz w:val="28"/>
          <w:szCs w:val="28"/>
        </w:rPr>
      </w:pPr>
    </w:p>
    <w:p>
      <w:pPr>
        <w:jc w:val="center"/>
        <w:rPr>
          <w:rFonts w:ascii="华文中宋" w:hAnsi="华文中宋" w:eastAsia="华文中宋"/>
          <w:sz w:val="28"/>
          <w:szCs w:val="28"/>
        </w:rPr>
      </w:pPr>
      <w:r>
        <w:rPr>
          <w:rFonts w:hint="eastAsia" w:ascii="华文中宋" w:hAnsi="华文中宋" w:eastAsia="华文中宋"/>
          <w:sz w:val="28"/>
          <w:szCs w:val="28"/>
        </w:rPr>
        <w:t>项目名称：</w:t>
      </w:r>
      <w:r>
        <w:rPr>
          <w:rFonts w:ascii="华文中宋" w:hAnsi="华文中宋" w:eastAsia="华文中宋"/>
          <w:sz w:val="28"/>
          <w:szCs w:val="28"/>
        </w:rPr>
        <w:t>20</w:t>
      </w:r>
      <w:r>
        <w:rPr>
          <w:rFonts w:hint="eastAsia" w:ascii="华文中宋" w:hAnsi="华文中宋" w:eastAsia="华文中宋"/>
          <w:sz w:val="28"/>
          <w:szCs w:val="28"/>
        </w:rPr>
        <w:t>2</w:t>
      </w:r>
      <w:r>
        <w:rPr>
          <w:rFonts w:ascii="华文中宋" w:hAnsi="华文中宋" w:eastAsia="华文中宋"/>
          <w:sz w:val="28"/>
          <w:szCs w:val="28"/>
        </w:rPr>
        <w:t>3</w:t>
      </w:r>
      <w:r>
        <w:rPr>
          <w:rFonts w:hint="eastAsia" w:ascii="华文中宋" w:hAnsi="华文中宋" w:eastAsia="华文中宋"/>
          <w:sz w:val="28"/>
          <w:szCs w:val="28"/>
        </w:rPr>
        <w:t>年青海省省级国库现金管理商业银行定期存款</w:t>
      </w:r>
    </w:p>
    <w:p>
      <w:pPr>
        <w:jc w:val="center"/>
        <w:rPr>
          <w:rFonts w:ascii="华文中宋" w:hAnsi="华文中宋" w:eastAsia="华文中宋"/>
          <w:sz w:val="28"/>
          <w:szCs w:val="28"/>
        </w:rPr>
      </w:pPr>
      <w:r>
        <w:rPr>
          <w:rFonts w:hint="eastAsia" w:ascii="华文中宋" w:hAnsi="华文中宋" w:eastAsia="华文中宋"/>
          <w:sz w:val="28"/>
          <w:szCs w:val="28"/>
        </w:rPr>
        <w:t>（第二期）</w:t>
      </w:r>
    </w:p>
    <w:p>
      <w:pPr>
        <w:jc w:val="center"/>
        <w:rPr>
          <w:rFonts w:ascii="华文中宋" w:hAnsi="华文中宋" w:eastAsia="华文中宋"/>
          <w:sz w:val="28"/>
          <w:szCs w:val="28"/>
        </w:rPr>
      </w:pPr>
    </w:p>
    <w:p>
      <w:pPr>
        <w:jc w:val="center"/>
        <w:rPr>
          <w:rFonts w:ascii="华文中宋" w:hAnsi="华文中宋" w:eastAsia="华文中宋"/>
          <w:sz w:val="28"/>
          <w:szCs w:val="28"/>
        </w:rPr>
      </w:pPr>
    </w:p>
    <w:p>
      <w:pPr>
        <w:jc w:val="center"/>
        <w:rPr>
          <w:rFonts w:ascii="华文中宋" w:hAnsi="华文中宋" w:eastAsia="华文中宋"/>
          <w:sz w:val="28"/>
          <w:szCs w:val="28"/>
        </w:rPr>
      </w:pPr>
    </w:p>
    <w:p>
      <w:pPr>
        <w:ind w:firstLine="1400" w:firstLineChars="500"/>
        <w:jc w:val="left"/>
        <w:rPr>
          <w:rFonts w:ascii="华文中宋" w:hAnsi="华文中宋" w:eastAsia="华文中宋"/>
          <w:sz w:val="28"/>
          <w:szCs w:val="28"/>
        </w:rPr>
      </w:pPr>
      <w:r>
        <w:rPr>
          <w:rFonts w:hint="eastAsia" w:ascii="华文中宋" w:hAnsi="华文中宋" w:eastAsia="华文中宋"/>
          <w:sz w:val="28"/>
          <w:szCs w:val="28"/>
        </w:rPr>
        <w:t>投标人名称（公章）</w:t>
      </w:r>
      <w:r>
        <w:rPr>
          <w:rFonts w:ascii="华文中宋" w:hAnsi="华文中宋" w:eastAsia="华文中宋"/>
          <w:sz w:val="28"/>
          <w:szCs w:val="28"/>
        </w:rPr>
        <w:t xml:space="preserve"> </w:t>
      </w:r>
      <w:r>
        <w:rPr>
          <w:rFonts w:hint="eastAsia" w:ascii="华文中宋" w:hAnsi="华文中宋" w:eastAsia="华文中宋"/>
          <w:sz w:val="28"/>
          <w:szCs w:val="28"/>
        </w:rPr>
        <w:t>：</w:t>
      </w:r>
    </w:p>
    <w:p>
      <w:pPr>
        <w:ind w:firstLine="1400" w:firstLineChars="500"/>
        <w:rPr>
          <w:rFonts w:ascii="华文中宋" w:hAnsi="华文中宋" w:eastAsia="华文中宋"/>
          <w:sz w:val="28"/>
          <w:szCs w:val="28"/>
        </w:rPr>
      </w:pPr>
      <w:r>
        <w:rPr>
          <w:rFonts w:hint="eastAsia" w:ascii="华文中宋" w:hAnsi="华文中宋" w:eastAsia="华文中宋"/>
          <w:sz w:val="28"/>
          <w:szCs w:val="28"/>
        </w:rPr>
        <w:t>投标日期：</w:t>
      </w:r>
    </w:p>
    <w:p>
      <w:pPr>
        <w:widowControl/>
        <w:jc w:val="center"/>
        <w:rPr>
          <w:rFonts w:ascii="华文中宋" w:hAnsi="华文中宋" w:eastAsia="华文中宋"/>
          <w:sz w:val="28"/>
          <w:szCs w:val="28"/>
        </w:rPr>
      </w:pPr>
      <w:r>
        <w:rPr>
          <w:rFonts w:ascii="仿宋_GB2312" w:eastAsia="仿宋_GB2312"/>
          <w:sz w:val="28"/>
          <w:szCs w:val="28"/>
        </w:rPr>
        <w:br w:type="page"/>
      </w:r>
      <w:r>
        <w:rPr>
          <w:rFonts w:hint="eastAsia" w:ascii="华文中宋" w:hAnsi="华文中宋" w:eastAsia="华文中宋"/>
          <w:sz w:val="28"/>
          <w:szCs w:val="28"/>
        </w:rPr>
        <w:t>一、投</w:t>
      </w:r>
      <w:r>
        <w:rPr>
          <w:rFonts w:ascii="华文中宋" w:hAnsi="华文中宋" w:eastAsia="华文中宋"/>
          <w:sz w:val="28"/>
          <w:szCs w:val="28"/>
        </w:rPr>
        <w:t xml:space="preserve"> </w:t>
      </w:r>
      <w:r>
        <w:rPr>
          <w:rFonts w:hint="eastAsia" w:ascii="华文中宋" w:hAnsi="华文中宋" w:eastAsia="华文中宋"/>
          <w:sz w:val="28"/>
          <w:szCs w:val="28"/>
        </w:rPr>
        <w:t>标</w:t>
      </w:r>
      <w:r>
        <w:rPr>
          <w:rFonts w:ascii="华文中宋" w:hAnsi="华文中宋" w:eastAsia="华文中宋"/>
          <w:sz w:val="28"/>
          <w:szCs w:val="28"/>
        </w:rPr>
        <w:t xml:space="preserve"> </w:t>
      </w:r>
      <w:r>
        <w:rPr>
          <w:rFonts w:hint="eastAsia" w:ascii="华文中宋" w:hAnsi="华文中宋" w:eastAsia="华文中宋"/>
          <w:sz w:val="28"/>
          <w:szCs w:val="28"/>
        </w:rPr>
        <w:t>函</w:t>
      </w:r>
    </w:p>
    <w:p>
      <w:pPr>
        <w:spacing w:line="360" w:lineRule="auto"/>
        <w:rPr>
          <w:rFonts w:ascii="仿宋_GB2312" w:eastAsia="仿宋_GB2312"/>
          <w:sz w:val="24"/>
          <w:szCs w:val="24"/>
        </w:rPr>
      </w:pPr>
    </w:p>
    <w:p>
      <w:pPr>
        <w:spacing w:line="360" w:lineRule="auto"/>
        <w:rPr>
          <w:rFonts w:ascii="仿宋" w:hAnsi="仿宋" w:eastAsia="仿宋"/>
          <w:sz w:val="24"/>
          <w:szCs w:val="24"/>
        </w:rPr>
      </w:pPr>
      <w:r>
        <w:rPr>
          <w:rFonts w:hint="eastAsia" w:ascii="仿宋" w:hAnsi="仿宋" w:eastAsia="仿宋"/>
          <w:sz w:val="24"/>
          <w:szCs w:val="24"/>
        </w:rPr>
        <w:t>青海省财政厅、中国人民银行西宁中心支行：</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根据你方</w:t>
      </w:r>
      <w:r>
        <w:rPr>
          <w:rFonts w:ascii="仿宋" w:hAnsi="仿宋" w:eastAsia="仿宋"/>
          <w:sz w:val="24"/>
          <w:szCs w:val="24"/>
        </w:rPr>
        <w:t>20</w:t>
      </w:r>
      <w:r>
        <w:rPr>
          <w:rFonts w:hint="eastAsia" w:ascii="仿宋" w:hAnsi="仿宋" w:eastAsia="仿宋"/>
          <w:sz w:val="24"/>
          <w:szCs w:val="24"/>
        </w:rPr>
        <w:t>2</w:t>
      </w:r>
      <w:r>
        <w:rPr>
          <w:rFonts w:ascii="仿宋" w:hAnsi="仿宋" w:eastAsia="仿宋"/>
          <w:sz w:val="24"/>
          <w:szCs w:val="24"/>
        </w:rPr>
        <w:t>3</w:t>
      </w:r>
      <w:r>
        <w:rPr>
          <w:rFonts w:hint="eastAsia" w:ascii="仿宋" w:hAnsi="仿宋" w:eastAsia="仿宋"/>
          <w:sz w:val="24"/>
          <w:szCs w:val="24"/>
        </w:rPr>
        <w:t>年青海省省级国库现金管理（第二期）的招标公告，我方已详细阅读全部内容，决定参加该项目的投标。代理人</w:t>
      </w:r>
      <w:r>
        <w:rPr>
          <w:rFonts w:hint="eastAsia" w:ascii="仿宋" w:hAnsi="仿宋" w:eastAsia="仿宋"/>
          <w:sz w:val="24"/>
          <w:szCs w:val="24"/>
          <w:u w:val="single"/>
        </w:rPr>
        <w:t>（全名、职务）</w:t>
      </w:r>
      <w:r>
        <w:rPr>
          <w:rFonts w:hint="eastAsia" w:ascii="仿宋" w:hAnsi="仿宋" w:eastAsia="仿宋"/>
          <w:sz w:val="24"/>
          <w:szCs w:val="24"/>
        </w:rPr>
        <w:t>经正式授权并代表投标人</w:t>
      </w:r>
      <w:r>
        <w:rPr>
          <w:rFonts w:hint="eastAsia" w:ascii="仿宋" w:hAnsi="仿宋" w:eastAsia="仿宋"/>
          <w:sz w:val="24"/>
          <w:szCs w:val="24"/>
          <w:u w:val="single"/>
        </w:rPr>
        <w:t>（投标人名称、地址）</w:t>
      </w:r>
      <w:r>
        <w:rPr>
          <w:rFonts w:hint="eastAsia" w:ascii="仿宋" w:hAnsi="仿宋" w:eastAsia="仿宋"/>
          <w:sz w:val="24"/>
          <w:szCs w:val="24"/>
        </w:rPr>
        <w:t>郑重声明如下几点，并对之负法律责任。</w:t>
      </w:r>
    </w:p>
    <w:p>
      <w:pPr>
        <w:spacing w:line="360" w:lineRule="auto"/>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、向招标人提交投标文件正本</w:t>
      </w:r>
      <w:r>
        <w:rPr>
          <w:rFonts w:ascii="仿宋" w:hAnsi="仿宋" w:eastAsia="仿宋"/>
          <w:sz w:val="24"/>
          <w:szCs w:val="24"/>
        </w:rPr>
        <w:t xml:space="preserve">  </w:t>
      </w:r>
      <w:r>
        <w:rPr>
          <w:rFonts w:hint="eastAsia" w:ascii="仿宋" w:hAnsi="仿宋" w:eastAsia="仿宋"/>
          <w:sz w:val="24"/>
          <w:szCs w:val="24"/>
        </w:rPr>
        <w:t>份和副本</w:t>
      </w:r>
      <w:r>
        <w:rPr>
          <w:rFonts w:ascii="仿宋" w:hAnsi="仿宋" w:eastAsia="仿宋"/>
          <w:sz w:val="24"/>
          <w:szCs w:val="24"/>
        </w:rPr>
        <w:t xml:space="preserve">  </w:t>
      </w:r>
      <w:r>
        <w:rPr>
          <w:rFonts w:hint="eastAsia" w:ascii="仿宋" w:hAnsi="仿宋" w:eastAsia="仿宋"/>
          <w:sz w:val="24"/>
          <w:szCs w:val="24"/>
        </w:rPr>
        <w:t>份。</w:t>
      </w:r>
    </w:p>
    <w:p>
      <w:pPr>
        <w:spacing w:line="360" w:lineRule="auto"/>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、我方的投标文件自投标截止起有效期为</w:t>
      </w:r>
      <w:r>
        <w:rPr>
          <w:rFonts w:ascii="仿宋" w:hAnsi="仿宋" w:eastAsia="仿宋"/>
          <w:sz w:val="24"/>
          <w:szCs w:val="24"/>
        </w:rPr>
        <w:t>90</w:t>
      </w:r>
      <w:r>
        <w:rPr>
          <w:rFonts w:hint="eastAsia" w:ascii="仿宋" w:hAnsi="仿宋" w:eastAsia="仿宋"/>
          <w:sz w:val="24"/>
          <w:szCs w:val="24"/>
        </w:rPr>
        <w:t>天。</w:t>
      </w:r>
    </w:p>
    <w:p>
      <w:pPr>
        <w:spacing w:line="360" w:lineRule="auto"/>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、我方同意提供可能要求的与本次招标有关的一切数据或资料，并对其真实性负责。</w:t>
      </w:r>
    </w:p>
    <w:p>
      <w:pPr>
        <w:spacing w:line="360" w:lineRule="auto"/>
        <w:ind w:firstLine="480" w:firstLineChars="200"/>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、与本投标有关的一切正式往来请按下列地址和方式联系：</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地址：</w:t>
      </w:r>
      <w:r>
        <w:rPr>
          <w:rFonts w:ascii="仿宋" w:hAnsi="仿宋" w:eastAsia="仿宋"/>
          <w:sz w:val="24"/>
          <w:szCs w:val="24"/>
        </w:rPr>
        <w:t xml:space="preserve">                  </w:t>
      </w:r>
      <w:r>
        <w:rPr>
          <w:rFonts w:hint="eastAsia" w:ascii="仿宋" w:hAnsi="仿宋" w:eastAsia="仿宋"/>
          <w:sz w:val="24"/>
          <w:szCs w:val="24"/>
        </w:rPr>
        <w:t>邮编：</w:t>
      </w:r>
    </w:p>
    <w:p>
      <w:pPr>
        <w:spacing w:line="360" w:lineRule="auto"/>
        <w:ind w:firstLine="480" w:firstLineChars="200"/>
        <w:rPr>
          <w:rFonts w:ascii="仿宋" w:hAnsi="仿宋" w:eastAsia="仿宋"/>
          <w:sz w:val="24"/>
          <w:szCs w:val="24"/>
        </w:rPr>
      </w:pPr>
      <w:r>
        <w:rPr>
          <w:rFonts w:hint="eastAsia" w:ascii="仿宋" w:hAnsi="仿宋" w:eastAsia="仿宋"/>
          <w:sz w:val="24"/>
          <w:szCs w:val="24"/>
        </w:rPr>
        <w:t>电话：</w:t>
      </w:r>
      <w:r>
        <w:rPr>
          <w:rFonts w:ascii="仿宋" w:hAnsi="仿宋" w:eastAsia="仿宋"/>
          <w:sz w:val="24"/>
          <w:szCs w:val="24"/>
        </w:rPr>
        <w:t xml:space="preserve">                  </w:t>
      </w:r>
      <w:r>
        <w:rPr>
          <w:rFonts w:hint="eastAsia" w:ascii="仿宋" w:hAnsi="仿宋" w:eastAsia="仿宋"/>
          <w:sz w:val="24"/>
          <w:szCs w:val="24"/>
        </w:rPr>
        <w:t>传真：</w:t>
      </w: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r>
        <w:rPr>
          <w:rFonts w:hint="eastAsia" w:ascii="仿宋" w:hAnsi="仿宋" w:eastAsia="仿宋"/>
          <w:sz w:val="24"/>
          <w:szCs w:val="24"/>
        </w:rPr>
        <w:t>投标单位名称（公章）</w:t>
      </w:r>
      <w:r>
        <w:rPr>
          <w:rFonts w:ascii="仿宋" w:hAnsi="仿宋" w:eastAsia="仿宋"/>
          <w:sz w:val="24"/>
          <w:szCs w:val="24"/>
        </w:rPr>
        <w:t xml:space="preserve"> </w:t>
      </w:r>
      <w:r>
        <w:rPr>
          <w:rFonts w:hint="eastAsia" w:ascii="仿宋" w:hAnsi="仿宋" w:eastAsia="仿宋"/>
          <w:sz w:val="24"/>
          <w:szCs w:val="24"/>
        </w:rPr>
        <w:t>：</w:t>
      </w: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r>
        <w:rPr>
          <w:rFonts w:hint="eastAsia" w:ascii="仿宋" w:hAnsi="仿宋" w:eastAsia="仿宋"/>
          <w:sz w:val="24"/>
          <w:szCs w:val="24"/>
        </w:rPr>
        <w:t>代理人（签字）：</w:t>
      </w:r>
    </w:p>
    <w:p>
      <w:pPr>
        <w:spacing w:line="360" w:lineRule="auto"/>
        <w:ind w:firstLine="360" w:firstLineChars="150"/>
        <w:rPr>
          <w:rFonts w:ascii="仿宋" w:hAnsi="仿宋" w:eastAsia="仿宋"/>
          <w:sz w:val="24"/>
          <w:szCs w:val="24"/>
        </w:rPr>
      </w:pPr>
    </w:p>
    <w:p>
      <w:pPr>
        <w:spacing w:line="360" w:lineRule="auto"/>
        <w:ind w:firstLine="480" w:firstLineChars="200"/>
        <w:rPr>
          <w:rFonts w:ascii="仿宋" w:hAnsi="仿宋" w:eastAsia="仿宋"/>
          <w:sz w:val="24"/>
          <w:szCs w:val="24"/>
        </w:rPr>
      </w:pPr>
      <w:r>
        <w:rPr>
          <w:rFonts w:hint="eastAsia" w:ascii="仿宋" w:hAnsi="仿宋" w:eastAsia="仿宋"/>
          <w:sz w:val="24"/>
          <w:szCs w:val="24"/>
        </w:rPr>
        <w:t>日期：</w:t>
      </w:r>
      <w:r>
        <w:rPr>
          <w:rFonts w:ascii="仿宋" w:hAnsi="仿宋" w:eastAsia="仿宋"/>
          <w:sz w:val="24"/>
          <w:szCs w:val="24"/>
        </w:rPr>
        <w:t xml:space="preserve">   </w:t>
      </w:r>
      <w:r>
        <w:rPr>
          <w:rFonts w:hint="eastAsia" w:ascii="仿宋" w:hAnsi="仿宋" w:eastAsia="仿宋"/>
          <w:sz w:val="24"/>
          <w:szCs w:val="24"/>
        </w:rPr>
        <w:t>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p>
    <w:p>
      <w:pPr>
        <w:widowControl/>
        <w:jc w:val="center"/>
        <w:rPr>
          <w:rFonts w:ascii="华文中宋" w:hAnsi="华文中宋" w:eastAsia="华文中宋"/>
          <w:sz w:val="28"/>
          <w:szCs w:val="28"/>
        </w:rPr>
      </w:pPr>
      <w:r>
        <w:rPr>
          <w:rFonts w:ascii="仿宋" w:hAnsi="仿宋" w:eastAsia="仿宋"/>
          <w:sz w:val="28"/>
          <w:szCs w:val="28"/>
        </w:rPr>
        <w:br w:type="page"/>
      </w:r>
      <w:r>
        <w:rPr>
          <w:rFonts w:hint="eastAsia" w:ascii="华文中宋" w:hAnsi="华文中宋" w:eastAsia="华文中宋"/>
          <w:sz w:val="28"/>
          <w:szCs w:val="28"/>
        </w:rPr>
        <w:t>二、法定代表人授权委托书</w:t>
      </w:r>
    </w:p>
    <w:p>
      <w:pPr>
        <w:rPr>
          <w:rFonts w:ascii="仿宋_GB2312" w:eastAsia="仿宋_GB2312"/>
          <w:sz w:val="24"/>
          <w:szCs w:val="24"/>
        </w:rPr>
      </w:pPr>
    </w:p>
    <w:p>
      <w:pPr>
        <w:spacing w:line="360" w:lineRule="auto"/>
        <w:rPr>
          <w:rFonts w:ascii="仿宋" w:hAnsi="仿宋" w:eastAsia="仿宋"/>
          <w:sz w:val="24"/>
          <w:szCs w:val="24"/>
        </w:rPr>
      </w:pPr>
      <w:r>
        <w:rPr>
          <w:rFonts w:hint="eastAsia" w:ascii="仿宋" w:hAnsi="仿宋" w:eastAsia="仿宋"/>
          <w:sz w:val="24"/>
          <w:szCs w:val="24"/>
        </w:rPr>
        <w:t>青海省财政厅、中国人民银行西宁中心支行：</w:t>
      </w:r>
    </w:p>
    <w:p>
      <w:pPr>
        <w:spacing w:line="360" w:lineRule="auto"/>
        <w:rPr>
          <w:rFonts w:ascii="仿宋" w:hAnsi="仿宋" w:eastAsia="仿宋"/>
          <w:sz w:val="24"/>
          <w:szCs w:val="24"/>
        </w:rPr>
      </w:pPr>
    </w:p>
    <w:p>
      <w:pPr>
        <w:spacing w:line="360" w:lineRule="auto"/>
        <w:ind w:firstLine="480" w:firstLineChars="200"/>
        <w:rPr>
          <w:rFonts w:ascii="仿宋" w:hAnsi="仿宋" w:eastAsia="仿宋"/>
          <w:sz w:val="24"/>
          <w:szCs w:val="24"/>
        </w:rPr>
      </w:pPr>
      <w:r>
        <w:rPr>
          <w:rFonts w:hint="eastAsia" w:ascii="仿宋" w:hAnsi="仿宋" w:eastAsia="仿宋"/>
          <w:sz w:val="24"/>
          <w:szCs w:val="24"/>
        </w:rPr>
        <w:t>兹委托</w:t>
      </w:r>
      <w:r>
        <w:rPr>
          <w:rFonts w:hint="eastAsia" w:ascii="仿宋" w:hAnsi="仿宋" w:eastAsia="仿宋"/>
          <w:sz w:val="24"/>
          <w:szCs w:val="24"/>
          <w:u w:val="single"/>
        </w:rPr>
        <w:t xml:space="preserve">      </w:t>
      </w:r>
      <w:r>
        <w:rPr>
          <w:rFonts w:hint="eastAsia" w:ascii="仿宋" w:hAnsi="仿宋" w:eastAsia="仿宋"/>
          <w:sz w:val="24"/>
          <w:szCs w:val="24"/>
        </w:rPr>
        <w:t>参加你方组织的</w:t>
      </w:r>
      <w:r>
        <w:rPr>
          <w:rFonts w:hint="eastAsia" w:ascii="仿宋" w:hAnsi="仿宋" w:eastAsia="仿宋"/>
          <w:sz w:val="24"/>
          <w:szCs w:val="24"/>
          <w:u w:val="single"/>
        </w:rPr>
        <w:t>202</w:t>
      </w:r>
      <w:r>
        <w:rPr>
          <w:rFonts w:ascii="仿宋" w:hAnsi="仿宋" w:eastAsia="仿宋"/>
          <w:sz w:val="24"/>
          <w:szCs w:val="24"/>
          <w:u w:val="single"/>
        </w:rPr>
        <w:t>3</w:t>
      </w:r>
      <w:r>
        <w:rPr>
          <w:rFonts w:hint="eastAsia" w:ascii="仿宋" w:hAnsi="仿宋" w:eastAsia="仿宋"/>
          <w:sz w:val="24"/>
          <w:szCs w:val="24"/>
          <w:u w:val="single"/>
        </w:rPr>
        <w:t>年青海省省级国库现金管理商业银行定期存款（第二期）</w:t>
      </w:r>
      <w:r>
        <w:rPr>
          <w:rFonts w:hint="eastAsia" w:ascii="仿宋" w:hAnsi="仿宋" w:eastAsia="仿宋"/>
          <w:sz w:val="24"/>
          <w:szCs w:val="24"/>
        </w:rPr>
        <w:t>项目的招标活动，全权代表我方处理与本次投标有关的事宜，所签署的相关文件，我方均予以承认。</w:t>
      </w:r>
    </w:p>
    <w:p>
      <w:pPr>
        <w:spacing w:line="360" w:lineRule="auto"/>
        <w:ind w:firstLine="480" w:firstLineChars="200"/>
        <w:rPr>
          <w:rFonts w:ascii="仿宋" w:hAnsi="仿宋" w:eastAsia="仿宋"/>
          <w:sz w:val="24"/>
          <w:szCs w:val="24"/>
        </w:rPr>
      </w:pPr>
    </w:p>
    <w:p>
      <w:pPr>
        <w:spacing w:line="360" w:lineRule="auto"/>
        <w:rPr>
          <w:rFonts w:ascii="仿宋" w:hAnsi="仿宋" w:eastAsia="仿宋"/>
          <w:sz w:val="24"/>
          <w:szCs w:val="24"/>
        </w:rPr>
      </w:pPr>
      <w:r>
        <w:rPr>
          <w:rFonts w:hint="eastAsia" w:ascii="仿宋" w:hAnsi="仿宋" w:eastAsia="仿宋"/>
          <w:sz w:val="24"/>
          <w:szCs w:val="24"/>
        </w:rPr>
        <w:t>附代理人情况：</w:t>
      </w:r>
    </w:p>
    <w:p>
      <w:pPr>
        <w:spacing w:line="360" w:lineRule="auto"/>
        <w:rPr>
          <w:rFonts w:ascii="仿宋" w:hAnsi="仿宋" w:eastAsia="仿宋"/>
          <w:sz w:val="24"/>
          <w:szCs w:val="24"/>
        </w:rPr>
      </w:pPr>
      <w:r>
        <w:rPr>
          <w:rFonts w:hint="eastAsia" w:ascii="仿宋" w:hAnsi="仿宋" w:eastAsia="仿宋"/>
          <w:sz w:val="24"/>
          <w:szCs w:val="24"/>
        </w:rPr>
        <w:t>姓名：</w:t>
      </w:r>
      <w:r>
        <w:rPr>
          <w:rFonts w:ascii="仿宋" w:hAnsi="仿宋" w:eastAsia="仿宋"/>
          <w:sz w:val="24"/>
          <w:szCs w:val="24"/>
        </w:rPr>
        <w:t xml:space="preserve">        </w:t>
      </w:r>
      <w:r>
        <w:rPr>
          <w:rFonts w:hint="eastAsia" w:ascii="仿宋" w:hAnsi="仿宋" w:eastAsia="仿宋"/>
          <w:sz w:val="24"/>
          <w:szCs w:val="24"/>
        </w:rPr>
        <w:t>性别：</w:t>
      </w:r>
      <w:r>
        <w:rPr>
          <w:rFonts w:ascii="仿宋" w:hAnsi="仿宋" w:eastAsia="仿宋"/>
          <w:sz w:val="24"/>
          <w:szCs w:val="24"/>
        </w:rPr>
        <w:t xml:space="preserve">   </w:t>
      </w:r>
      <w:r>
        <w:rPr>
          <w:rFonts w:hint="eastAsia" w:ascii="仿宋" w:hAnsi="仿宋" w:eastAsia="仿宋"/>
          <w:sz w:val="24"/>
          <w:szCs w:val="24"/>
        </w:rPr>
        <w:t>年龄：</w:t>
      </w:r>
      <w:r>
        <w:rPr>
          <w:rFonts w:ascii="仿宋" w:hAnsi="仿宋" w:eastAsia="仿宋"/>
          <w:sz w:val="24"/>
          <w:szCs w:val="24"/>
        </w:rPr>
        <w:t xml:space="preserve">    </w:t>
      </w:r>
      <w:r>
        <w:rPr>
          <w:rFonts w:hint="eastAsia" w:ascii="仿宋" w:hAnsi="仿宋" w:eastAsia="仿宋"/>
          <w:sz w:val="24"/>
          <w:szCs w:val="24"/>
        </w:rPr>
        <w:t>职务：</w:t>
      </w:r>
    </w:p>
    <w:p>
      <w:pPr>
        <w:spacing w:line="360" w:lineRule="auto"/>
        <w:rPr>
          <w:rFonts w:ascii="仿宋" w:hAnsi="仿宋" w:eastAsia="仿宋"/>
          <w:sz w:val="24"/>
          <w:szCs w:val="24"/>
        </w:rPr>
      </w:pPr>
      <w:r>
        <w:rPr>
          <w:rFonts w:hint="eastAsia" w:ascii="仿宋" w:hAnsi="仿宋" w:eastAsia="仿宋"/>
          <w:sz w:val="24"/>
          <w:szCs w:val="24"/>
        </w:rPr>
        <w:t>身份证号码：</w:t>
      </w:r>
    </w:p>
    <w:p>
      <w:pPr>
        <w:spacing w:line="360" w:lineRule="auto"/>
        <w:rPr>
          <w:rFonts w:ascii="仿宋" w:hAnsi="仿宋" w:eastAsia="仿宋"/>
          <w:sz w:val="24"/>
          <w:szCs w:val="24"/>
        </w:rPr>
      </w:pPr>
      <w:r>
        <w:rPr>
          <w:rFonts w:hint="eastAsia" w:ascii="仿宋" w:hAnsi="仿宋" w:eastAsia="仿宋"/>
          <w:sz w:val="24"/>
          <w:szCs w:val="24"/>
        </w:rPr>
        <w:t>通讯地址：</w:t>
      </w:r>
    </w:p>
    <w:p>
      <w:pPr>
        <w:spacing w:line="360" w:lineRule="auto"/>
        <w:rPr>
          <w:rFonts w:ascii="仿宋" w:hAnsi="仿宋" w:eastAsia="仿宋"/>
          <w:sz w:val="24"/>
          <w:szCs w:val="24"/>
        </w:rPr>
      </w:pPr>
      <w:r>
        <w:rPr>
          <w:rFonts w:hint="eastAsia" w:ascii="仿宋" w:hAnsi="仿宋" w:eastAsia="仿宋"/>
          <w:sz w:val="24"/>
          <w:szCs w:val="24"/>
        </w:rPr>
        <w:t>邮政编码：</w:t>
      </w:r>
    </w:p>
    <w:p>
      <w:pPr>
        <w:spacing w:line="360" w:lineRule="auto"/>
        <w:rPr>
          <w:rFonts w:ascii="仿宋" w:hAnsi="仿宋" w:eastAsia="仿宋"/>
          <w:b/>
          <w:sz w:val="24"/>
          <w:szCs w:val="24"/>
        </w:rPr>
      </w:pPr>
      <w:r>
        <w:rPr>
          <w:rFonts w:hint="eastAsia" w:ascii="仿宋" w:hAnsi="仿宋" w:eastAsia="仿宋"/>
          <w:sz w:val="24"/>
          <w:szCs w:val="24"/>
        </w:rPr>
        <w:t>电话：</w:t>
      </w:r>
      <w:r>
        <w:rPr>
          <w:rFonts w:ascii="仿宋" w:hAnsi="仿宋" w:eastAsia="仿宋"/>
          <w:sz w:val="24"/>
          <w:szCs w:val="24"/>
        </w:rPr>
        <w:t xml:space="preserve">        </w:t>
      </w:r>
      <w:r>
        <w:rPr>
          <w:rFonts w:hint="eastAsia" w:ascii="仿宋" w:hAnsi="仿宋" w:eastAsia="仿宋"/>
          <w:sz w:val="24"/>
          <w:szCs w:val="24"/>
        </w:rPr>
        <w:t>传真：</w:t>
      </w: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rPr>
          <w:rFonts w:ascii="仿宋" w:hAnsi="仿宋" w:eastAsia="仿宋"/>
          <w:sz w:val="24"/>
          <w:szCs w:val="24"/>
        </w:rPr>
      </w:pPr>
      <w:r>
        <w:rPr>
          <w:rFonts w:hint="eastAsia" w:ascii="仿宋" w:hAnsi="仿宋" w:eastAsia="仿宋"/>
          <w:sz w:val="24"/>
          <w:szCs w:val="24"/>
        </w:rPr>
        <w:t>投标单位名称（公章）</w:t>
      </w:r>
      <w:r>
        <w:rPr>
          <w:rFonts w:ascii="仿宋" w:hAnsi="仿宋" w:eastAsia="仿宋"/>
          <w:sz w:val="24"/>
          <w:szCs w:val="24"/>
        </w:rPr>
        <w:t xml:space="preserve">       </w:t>
      </w:r>
      <w:r>
        <w:rPr>
          <w:rFonts w:hint="eastAsia" w:ascii="仿宋" w:hAnsi="仿宋" w:eastAsia="仿宋"/>
          <w:sz w:val="24"/>
          <w:szCs w:val="24"/>
        </w:rPr>
        <w:t xml:space="preserve">                法定代表人（签字）</w:t>
      </w:r>
    </w:p>
    <w:p>
      <w:pPr>
        <w:spacing w:line="360" w:lineRule="auto"/>
        <w:ind w:firstLine="240" w:firstLineChars="100"/>
        <w:rPr>
          <w:rFonts w:ascii="仿宋" w:hAnsi="仿宋" w:eastAsia="仿宋"/>
          <w:sz w:val="24"/>
          <w:szCs w:val="24"/>
        </w:rPr>
      </w:pPr>
      <w:r>
        <w:rPr>
          <w:rFonts w:hint="eastAsia" w:ascii="仿宋" w:hAnsi="仿宋" w:eastAsia="仿宋"/>
          <w:sz w:val="24"/>
          <w:szCs w:val="24"/>
        </w:rPr>
        <w:t>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p>
    <w:p>
      <w:pPr>
        <w:widowControl/>
        <w:spacing w:line="360" w:lineRule="auto"/>
        <w:jc w:val="left"/>
        <w:rPr>
          <w:rFonts w:ascii="仿宋" w:hAnsi="仿宋" w:eastAsia="仿宋"/>
          <w:sz w:val="24"/>
          <w:szCs w:val="24"/>
        </w:rPr>
      </w:pPr>
    </w:p>
    <w:p>
      <w:pPr>
        <w:widowControl/>
        <w:spacing w:line="360" w:lineRule="auto"/>
        <w:jc w:val="left"/>
        <w:rPr>
          <w:rFonts w:ascii="仿宋" w:hAnsi="仿宋" w:eastAsia="仿宋"/>
          <w:sz w:val="24"/>
          <w:szCs w:val="24"/>
        </w:rPr>
      </w:pPr>
    </w:p>
    <w:p>
      <w:pPr>
        <w:widowControl/>
        <w:spacing w:line="360" w:lineRule="auto"/>
        <w:jc w:val="left"/>
        <w:rPr>
          <w:rFonts w:ascii="仿宋" w:hAnsi="仿宋" w:eastAsia="仿宋"/>
          <w:sz w:val="24"/>
          <w:szCs w:val="24"/>
        </w:rPr>
      </w:pPr>
      <w:r>
        <w:rPr>
          <w:rFonts w:hint="eastAsia" w:ascii="仿宋" w:hAnsi="仿宋" w:eastAsia="仿宋"/>
          <w:sz w:val="24"/>
          <w:szCs w:val="24"/>
        </w:rPr>
        <w:t>代理人身份证复印件（正反面）</w:t>
      </w:r>
      <w:r>
        <w:rPr>
          <w:rFonts w:ascii="仿宋" w:hAnsi="仿宋" w:eastAsia="仿宋"/>
          <w:sz w:val="24"/>
          <w:szCs w:val="24"/>
        </w:rPr>
        <w:t xml:space="preserve">  </w:t>
      </w:r>
      <w:r>
        <w:rPr>
          <w:rFonts w:hint="eastAsia" w:ascii="仿宋" w:hAnsi="仿宋" w:eastAsia="仿宋"/>
          <w:sz w:val="24"/>
          <w:szCs w:val="24"/>
        </w:rPr>
        <w:t xml:space="preserve">         法定代表人身份证复印件（正反面）</w:t>
      </w:r>
    </w:p>
    <w:p>
      <w:pPr>
        <w:widowControl/>
        <w:ind w:firstLine="120" w:firstLineChars="50"/>
        <w:jc w:val="left"/>
        <w:rPr>
          <w:rFonts w:ascii="仿宋" w:hAnsi="仿宋" w:eastAsia="仿宋"/>
          <w:sz w:val="24"/>
          <w:szCs w:val="24"/>
        </w:rPr>
      </w:pPr>
      <w:r>
        <w:rPr>
          <w:rFonts w:hint="eastAsia" w:ascii="仿宋" w:hAnsi="仿宋" w:eastAsia="仿宋"/>
          <w:sz w:val="24"/>
          <w:szCs w:val="24"/>
        </w:rPr>
        <w:t>（不接受粘贴和缩印）</w:t>
      </w:r>
      <w:r>
        <w:rPr>
          <w:rFonts w:ascii="仿宋" w:hAnsi="仿宋" w:eastAsia="仿宋"/>
          <w:sz w:val="24"/>
          <w:szCs w:val="24"/>
        </w:rPr>
        <w:t xml:space="preserve">             </w:t>
      </w:r>
      <w:r>
        <w:rPr>
          <w:rFonts w:hint="eastAsia" w:ascii="仿宋" w:hAnsi="仿宋" w:eastAsia="仿宋"/>
          <w:sz w:val="24"/>
          <w:szCs w:val="24"/>
        </w:rPr>
        <w:t xml:space="preserve">        （不接受粘贴和缩印）</w:t>
      </w:r>
    </w:p>
    <w:p>
      <w:pPr>
        <w:widowControl/>
        <w:jc w:val="center"/>
        <w:rPr>
          <w:rFonts w:ascii="华文中宋" w:hAnsi="华文中宋" w:eastAsia="华文中宋"/>
          <w:sz w:val="28"/>
          <w:szCs w:val="28"/>
        </w:rPr>
      </w:pPr>
      <w:r>
        <w:rPr>
          <w:rFonts w:ascii="仿宋" w:hAnsi="仿宋" w:eastAsia="仿宋"/>
          <w:sz w:val="28"/>
          <w:szCs w:val="28"/>
        </w:rPr>
        <w:br w:type="page"/>
      </w:r>
      <w:r>
        <w:rPr>
          <w:rFonts w:hint="eastAsia" w:ascii="华文中宋" w:hAnsi="华文中宋" w:eastAsia="华文中宋"/>
          <w:sz w:val="28"/>
          <w:szCs w:val="28"/>
        </w:rPr>
        <w:t>三、企业经营信誉及风险控制承诺书</w:t>
      </w:r>
    </w:p>
    <w:p>
      <w:pPr>
        <w:spacing w:line="360" w:lineRule="auto"/>
        <w:rPr>
          <w:rFonts w:ascii="仿宋_GB2312" w:eastAsia="仿宋_GB2312"/>
          <w:sz w:val="24"/>
          <w:szCs w:val="24"/>
        </w:rPr>
      </w:pPr>
    </w:p>
    <w:p>
      <w:pPr>
        <w:spacing w:line="360" w:lineRule="auto"/>
        <w:rPr>
          <w:rFonts w:ascii="仿宋" w:hAnsi="仿宋" w:eastAsia="仿宋"/>
          <w:sz w:val="24"/>
          <w:szCs w:val="24"/>
        </w:rPr>
      </w:pPr>
      <w:r>
        <w:rPr>
          <w:rFonts w:hint="eastAsia" w:ascii="仿宋" w:hAnsi="仿宋" w:eastAsia="仿宋"/>
          <w:sz w:val="24"/>
          <w:szCs w:val="24"/>
        </w:rPr>
        <w:t>青海省财政厅、中国人民银行西宁中心支行：</w:t>
      </w: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r>
        <w:rPr>
          <w:rFonts w:hint="eastAsia" w:ascii="仿宋" w:hAnsi="仿宋" w:eastAsia="仿宋"/>
          <w:sz w:val="24"/>
          <w:szCs w:val="24"/>
        </w:rPr>
        <w:t>根据《</w:t>
      </w:r>
      <w:r>
        <w:rPr>
          <w:rFonts w:ascii="仿宋" w:hAnsi="仿宋" w:eastAsia="仿宋"/>
          <w:sz w:val="24"/>
          <w:szCs w:val="24"/>
        </w:rPr>
        <w:t>20</w:t>
      </w:r>
      <w:r>
        <w:rPr>
          <w:rFonts w:hint="eastAsia" w:ascii="仿宋" w:hAnsi="仿宋" w:eastAsia="仿宋"/>
          <w:sz w:val="24"/>
          <w:szCs w:val="24"/>
        </w:rPr>
        <w:t>2</w:t>
      </w:r>
      <w:r>
        <w:rPr>
          <w:rFonts w:ascii="仿宋" w:hAnsi="仿宋" w:eastAsia="仿宋"/>
          <w:sz w:val="24"/>
          <w:szCs w:val="24"/>
        </w:rPr>
        <w:t>3</w:t>
      </w:r>
      <w:r>
        <w:rPr>
          <w:rFonts w:hint="eastAsia" w:ascii="仿宋" w:hAnsi="仿宋" w:eastAsia="仿宋"/>
          <w:sz w:val="24"/>
          <w:szCs w:val="24"/>
        </w:rPr>
        <w:t>年青海省省级国库现金管理（第二期）招标公告》相关规定，</w:t>
      </w:r>
      <w:r>
        <w:rPr>
          <w:rFonts w:hint="eastAsia" w:ascii="仿宋" w:hAnsi="仿宋" w:eastAsia="仿宋"/>
          <w:sz w:val="24"/>
          <w:szCs w:val="24"/>
          <w:u w:val="single"/>
        </w:rPr>
        <w:t>（投标人名称）</w:t>
      </w:r>
      <w:r>
        <w:rPr>
          <w:rFonts w:hint="eastAsia" w:ascii="仿宋" w:hAnsi="仿宋" w:eastAsia="仿宋"/>
          <w:sz w:val="24"/>
          <w:szCs w:val="24"/>
        </w:rPr>
        <w:t>特向你方郑重承诺：本机构依法开展经营活动，近三年内在经营活动中无重大违法违规记录，法定代表人、财务及其他部门负责人、专职人员在近三年内无重大违反金融财经法律法规的行为。本机构内部管理规范、内控制度健全、具有严格的操作规程和措施，具有良好的经营信誉、风险控制能力及履行协议的能力，近三年内未发生金融风险及重大违约事件。</w:t>
      </w:r>
    </w:p>
    <w:p>
      <w:pPr>
        <w:spacing w:line="360" w:lineRule="auto"/>
        <w:ind w:firstLine="480" w:firstLineChars="200"/>
        <w:rPr>
          <w:rFonts w:ascii="仿宋" w:hAnsi="仿宋" w:eastAsia="仿宋"/>
          <w:sz w:val="24"/>
          <w:szCs w:val="24"/>
        </w:rPr>
      </w:pPr>
      <w:r>
        <w:rPr>
          <w:rFonts w:hint="eastAsia" w:ascii="仿宋" w:hAnsi="仿宋" w:eastAsia="仿宋"/>
          <w:sz w:val="24"/>
          <w:szCs w:val="24"/>
        </w:rPr>
        <w:t>特此承诺。</w:t>
      </w:r>
    </w:p>
    <w:p>
      <w:pPr>
        <w:spacing w:line="360" w:lineRule="auto"/>
        <w:ind w:firstLine="360" w:firstLineChars="150"/>
        <w:rPr>
          <w:rFonts w:ascii="仿宋" w:hAnsi="仿宋" w:eastAsia="仿宋"/>
          <w:sz w:val="24"/>
          <w:szCs w:val="24"/>
        </w:rPr>
      </w:pPr>
      <w:r>
        <w:rPr>
          <w:rFonts w:hint="eastAsia" w:ascii="仿宋" w:hAnsi="仿宋" w:eastAsia="仿宋"/>
          <w:sz w:val="24"/>
          <w:szCs w:val="24"/>
        </w:rPr>
        <w:t>（投标人可自行增加有关企业经营信誉承诺的内容。）</w:t>
      </w: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ind w:firstLine="3480" w:firstLineChars="1450"/>
        <w:rPr>
          <w:rFonts w:ascii="仿宋" w:hAnsi="仿宋" w:eastAsia="仿宋"/>
          <w:sz w:val="24"/>
          <w:szCs w:val="24"/>
        </w:rPr>
      </w:pPr>
      <w:r>
        <w:rPr>
          <w:rFonts w:hint="eastAsia" w:ascii="仿宋" w:hAnsi="仿宋" w:eastAsia="仿宋"/>
          <w:sz w:val="24"/>
          <w:szCs w:val="24"/>
        </w:rPr>
        <w:t>投标人名称（公章）：</w:t>
      </w:r>
    </w:p>
    <w:p>
      <w:pPr>
        <w:spacing w:line="360" w:lineRule="auto"/>
        <w:ind w:firstLine="3480" w:firstLineChars="1450"/>
        <w:jc w:val="left"/>
        <w:rPr>
          <w:rFonts w:ascii="仿宋" w:hAnsi="仿宋" w:eastAsia="仿宋"/>
          <w:sz w:val="24"/>
          <w:szCs w:val="24"/>
        </w:rPr>
      </w:pPr>
      <w:r>
        <w:rPr>
          <w:rFonts w:hint="eastAsia" w:ascii="仿宋" w:hAnsi="仿宋" w:eastAsia="仿宋"/>
          <w:sz w:val="24"/>
          <w:szCs w:val="24"/>
        </w:rPr>
        <w:t>法定代表人（签字）：</w:t>
      </w:r>
    </w:p>
    <w:p>
      <w:pPr>
        <w:spacing w:line="360" w:lineRule="auto"/>
        <w:ind w:firstLine="6600" w:firstLineChars="2750"/>
        <w:rPr>
          <w:rFonts w:ascii="仿宋" w:hAnsi="仿宋" w:eastAsia="仿宋"/>
          <w:sz w:val="24"/>
          <w:szCs w:val="24"/>
        </w:rPr>
      </w:pPr>
      <w:r>
        <w:rPr>
          <w:rFonts w:hint="eastAsia" w:ascii="仿宋" w:hAnsi="仿宋" w:eastAsia="仿宋"/>
          <w:sz w:val="24"/>
          <w:szCs w:val="24"/>
        </w:rPr>
        <w:t>年  月  日</w:t>
      </w:r>
    </w:p>
    <w:p>
      <w:pPr>
        <w:spacing w:line="360" w:lineRule="auto"/>
        <w:ind w:firstLine="6600" w:firstLineChars="2750"/>
        <w:rPr>
          <w:rFonts w:ascii="仿宋" w:hAnsi="仿宋" w:eastAsia="仿宋"/>
          <w:sz w:val="24"/>
          <w:szCs w:val="24"/>
        </w:rPr>
      </w:pPr>
    </w:p>
    <w:p>
      <w:pPr>
        <w:spacing w:line="360" w:lineRule="auto"/>
        <w:ind w:firstLine="6600" w:firstLineChars="2750"/>
        <w:rPr>
          <w:rFonts w:ascii="仿宋" w:hAnsi="仿宋" w:eastAsia="仿宋"/>
          <w:sz w:val="24"/>
          <w:szCs w:val="24"/>
        </w:rPr>
      </w:pPr>
    </w:p>
    <w:p>
      <w:pPr>
        <w:spacing w:line="360" w:lineRule="auto"/>
        <w:ind w:firstLine="6600" w:firstLineChars="2750"/>
        <w:rPr>
          <w:rFonts w:ascii="仿宋" w:hAnsi="仿宋" w:eastAsia="仿宋"/>
          <w:sz w:val="24"/>
          <w:szCs w:val="24"/>
        </w:rPr>
      </w:pPr>
    </w:p>
    <w:p>
      <w:pPr>
        <w:spacing w:line="360" w:lineRule="auto"/>
        <w:ind w:firstLine="6600" w:firstLineChars="2750"/>
        <w:rPr>
          <w:rFonts w:ascii="仿宋" w:hAnsi="仿宋" w:eastAsia="仿宋"/>
          <w:sz w:val="24"/>
          <w:szCs w:val="24"/>
        </w:rPr>
      </w:pPr>
    </w:p>
    <w:p>
      <w:pPr>
        <w:spacing w:line="360" w:lineRule="auto"/>
        <w:ind w:firstLine="6600" w:firstLineChars="2750"/>
        <w:rPr>
          <w:rFonts w:ascii="仿宋" w:hAnsi="仿宋" w:eastAsia="仿宋"/>
          <w:sz w:val="24"/>
          <w:szCs w:val="24"/>
        </w:rPr>
      </w:pPr>
    </w:p>
    <w:p>
      <w:pPr>
        <w:spacing w:line="360" w:lineRule="auto"/>
        <w:ind w:firstLine="6600" w:firstLineChars="2750"/>
        <w:rPr>
          <w:rFonts w:ascii="仿宋" w:hAnsi="仿宋" w:eastAsia="仿宋"/>
          <w:sz w:val="24"/>
          <w:szCs w:val="24"/>
        </w:rPr>
      </w:pPr>
    </w:p>
    <w:p>
      <w:pPr>
        <w:spacing w:line="360" w:lineRule="auto"/>
        <w:ind w:firstLine="6600" w:firstLineChars="2750"/>
        <w:rPr>
          <w:rFonts w:ascii="仿宋" w:hAnsi="仿宋" w:eastAsia="仿宋"/>
          <w:sz w:val="24"/>
          <w:szCs w:val="24"/>
        </w:rPr>
      </w:pPr>
    </w:p>
    <w:p>
      <w:pPr>
        <w:spacing w:line="360" w:lineRule="auto"/>
        <w:ind w:firstLine="6600" w:firstLineChars="2750"/>
        <w:rPr>
          <w:rFonts w:ascii="仿宋" w:hAnsi="仿宋" w:eastAsia="仿宋"/>
          <w:sz w:val="24"/>
          <w:szCs w:val="24"/>
        </w:rPr>
      </w:pPr>
    </w:p>
    <w:p>
      <w:pPr>
        <w:spacing w:line="360" w:lineRule="auto"/>
        <w:ind w:firstLine="6600" w:firstLineChars="2750"/>
        <w:rPr>
          <w:rFonts w:ascii="仿宋" w:hAnsi="仿宋" w:eastAsia="仿宋"/>
          <w:sz w:val="24"/>
          <w:szCs w:val="24"/>
        </w:rPr>
      </w:pPr>
    </w:p>
    <w:p>
      <w:pPr>
        <w:spacing w:line="360" w:lineRule="auto"/>
        <w:ind w:firstLine="6600" w:firstLineChars="2750"/>
        <w:rPr>
          <w:rFonts w:ascii="仿宋" w:hAnsi="仿宋" w:eastAsia="仿宋"/>
          <w:sz w:val="24"/>
          <w:szCs w:val="24"/>
        </w:rPr>
      </w:pPr>
    </w:p>
    <w:p>
      <w:pPr>
        <w:spacing w:line="360" w:lineRule="auto"/>
        <w:ind w:firstLine="6600" w:firstLineChars="2750"/>
        <w:rPr>
          <w:rFonts w:ascii="仿宋" w:hAnsi="仿宋" w:eastAsia="仿宋"/>
          <w:sz w:val="24"/>
          <w:szCs w:val="24"/>
        </w:rPr>
      </w:pPr>
    </w:p>
    <w:p>
      <w:pPr>
        <w:spacing w:line="360" w:lineRule="auto"/>
        <w:ind w:firstLine="6600" w:firstLineChars="2750"/>
        <w:rPr>
          <w:rFonts w:ascii="仿宋" w:hAnsi="仿宋" w:eastAsia="仿宋"/>
          <w:sz w:val="24"/>
          <w:szCs w:val="24"/>
        </w:rPr>
      </w:pPr>
    </w:p>
    <w:p>
      <w:pPr>
        <w:jc w:val="center"/>
        <w:rPr>
          <w:rFonts w:ascii="华文中宋" w:hAnsi="华文中宋" w:eastAsia="华文中宋" w:cs="宋体"/>
          <w:kern w:val="0"/>
          <w:sz w:val="28"/>
          <w:szCs w:val="28"/>
        </w:rPr>
      </w:pPr>
      <w:r>
        <w:rPr>
          <w:rFonts w:hint="eastAsia" w:ascii="华文中宋" w:hAnsi="华文中宋" w:eastAsia="华文中宋" w:cs="宋体"/>
          <w:kern w:val="0"/>
          <w:sz w:val="28"/>
          <w:szCs w:val="28"/>
        </w:rPr>
        <w:t>四、开标一览表</w:t>
      </w:r>
    </w:p>
    <w:p>
      <w:pPr>
        <w:spacing w:line="240" w:lineRule="exact"/>
        <w:ind w:firstLine="360" w:firstLineChars="150"/>
        <w:rPr>
          <w:rFonts w:ascii="华文中宋" w:hAnsi="华文中宋" w:eastAsia="华文中宋" w:cs="宋体"/>
          <w:kern w:val="0"/>
          <w:sz w:val="24"/>
        </w:rPr>
      </w:pPr>
      <w:r>
        <w:rPr>
          <w:rFonts w:hint="eastAsia" w:ascii="华文中宋" w:hAnsi="华文中宋" w:eastAsia="华文中宋" w:cs="宋体"/>
          <w:kern w:val="0"/>
          <w:sz w:val="24"/>
        </w:rPr>
        <w:t>银行名称（公章）：</w:t>
      </w:r>
    </w:p>
    <w:tbl>
      <w:tblPr>
        <w:tblStyle w:val="6"/>
        <w:tblpPr w:leftFromText="180" w:rightFromText="180" w:vertAnchor="text" w:horzAnchor="page" w:tblpX="1850" w:tblpY="703"/>
        <w:tblW w:w="8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728"/>
        <w:gridCol w:w="1184"/>
        <w:gridCol w:w="3816"/>
        <w:gridCol w:w="2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25" w:type="dxa"/>
            <w:vMerge w:val="restart"/>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序号</w:t>
            </w:r>
          </w:p>
        </w:tc>
        <w:tc>
          <w:tcPr>
            <w:tcW w:w="1912" w:type="dxa"/>
            <w:gridSpan w:val="2"/>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评审内容</w:t>
            </w:r>
          </w:p>
        </w:tc>
        <w:tc>
          <w:tcPr>
            <w:tcW w:w="3816" w:type="dxa"/>
            <w:vMerge w:val="restart"/>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数据</w:t>
            </w:r>
          </w:p>
        </w:tc>
        <w:tc>
          <w:tcPr>
            <w:tcW w:w="2284" w:type="dxa"/>
            <w:vMerge w:val="restart"/>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525" w:type="dxa"/>
            <w:vMerge w:val="continue"/>
            <w:vAlign w:val="center"/>
          </w:tcPr>
          <w:p>
            <w:pPr>
              <w:widowControl/>
              <w:jc w:val="left"/>
              <w:rPr>
                <w:rFonts w:ascii="仿宋" w:hAnsi="仿宋" w:eastAsia="仿宋" w:cs="宋体"/>
                <w:kern w:val="0"/>
                <w:sz w:val="18"/>
                <w:szCs w:val="18"/>
              </w:rPr>
            </w:pPr>
          </w:p>
        </w:tc>
        <w:tc>
          <w:tcPr>
            <w:tcW w:w="72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一级指标</w:t>
            </w:r>
          </w:p>
        </w:tc>
        <w:tc>
          <w:tcPr>
            <w:tcW w:w="1184"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二级指标</w:t>
            </w:r>
          </w:p>
        </w:tc>
        <w:tc>
          <w:tcPr>
            <w:tcW w:w="3816" w:type="dxa"/>
            <w:vMerge w:val="continue"/>
            <w:vAlign w:val="center"/>
          </w:tcPr>
          <w:p>
            <w:pPr>
              <w:widowControl/>
              <w:jc w:val="left"/>
              <w:rPr>
                <w:rFonts w:ascii="仿宋" w:hAnsi="仿宋" w:eastAsia="仿宋" w:cs="宋体"/>
                <w:kern w:val="0"/>
                <w:sz w:val="18"/>
                <w:szCs w:val="18"/>
              </w:rPr>
            </w:pPr>
          </w:p>
        </w:tc>
        <w:tc>
          <w:tcPr>
            <w:tcW w:w="2284" w:type="dxa"/>
            <w:vMerge w:val="continue"/>
            <w:vAlign w:val="center"/>
          </w:tcPr>
          <w:p>
            <w:pPr>
              <w:widowControl/>
              <w:jc w:val="lef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525" w:type="dxa"/>
            <w:vMerge w:val="restart"/>
            <w:vAlign w:val="center"/>
          </w:tcPr>
          <w:p>
            <w:pPr>
              <w:widowControl/>
              <w:jc w:val="center"/>
              <w:rPr>
                <w:rFonts w:ascii="仿宋" w:hAnsi="仿宋" w:eastAsia="仿宋" w:cs="宋体"/>
                <w:kern w:val="0"/>
                <w:sz w:val="18"/>
                <w:szCs w:val="18"/>
              </w:rPr>
            </w:pPr>
            <w:r>
              <w:rPr>
                <w:rFonts w:ascii="仿宋" w:hAnsi="仿宋" w:eastAsia="仿宋" w:cs="宋体"/>
                <w:kern w:val="0"/>
                <w:sz w:val="18"/>
                <w:szCs w:val="18"/>
              </w:rPr>
              <w:t>1</w:t>
            </w:r>
          </w:p>
        </w:tc>
        <w:tc>
          <w:tcPr>
            <w:tcW w:w="728" w:type="dxa"/>
            <w:vMerge w:val="restart"/>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安全性</w:t>
            </w:r>
          </w:p>
        </w:tc>
        <w:tc>
          <w:tcPr>
            <w:tcW w:w="1184" w:type="dxa"/>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资本充足率</w:t>
            </w:r>
          </w:p>
        </w:tc>
        <w:tc>
          <w:tcPr>
            <w:tcW w:w="3816" w:type="dxa"/>
            <w:vAlign w:val="center"/>
          </w:tcPr>
          <w:p>
            <w:pPr>
              <w:widowControl/>
              <w:jc w:val="left"/>
              <w:rPr>
                <w:rFonts w:ascii="仿宋" w:hAnsi="仿宋" w:eastAsia="仿宋" w:cs="宋体"/>
                <w:kern w:val="0"/>
                <w:sz w:val="18"/>
                <w:szCs w:val="18"/>
              </w:rPr>
            </w:pPr>
            <w:r>
              <w:rPr>
                <w:rFonts w:ascii="仿宋" w:hAnsi="仿宋" w:eastAsia="仿宋" w:cs="宋体"/>
                <w:kern w:val="0"/>
                <w:sz w:val="18"/>
                <w:szCs w:val="18"/>
              </w:rPr>
              <w:t>2021</w:t>
            </w:r>
            <w:r>
              <w:rPr>
                <w:rFonts w:hint="eastAsia" w:ascii="仿宋" w:hAnsi="仿宋" w:eastAsia="仿宋" w:cs="宋体"/>
                <w:kern w:val="0"/>
                <w:sz w:val="18"/>
                <w:szCs w:val="18"/>
              </w:rPr>
              <w:t>年</w:t>
            </w:r>
            <w:r>
              <w:rPr>
                <w:rFonts w:ascii="仿宋" w:hAnsi="仿宋" w:eastAsia="仿宋" w:cs="宋体"/>
                <w:kern w:val="0"/>
                <w:sz w:val="18"/>
                <w:szCs w:val="18"/>
              </w:rPr>
              <w:t>12</w:t>
            </w:r>
            <w:r>
              <w:rPr>
                <w:rFonts w:hint="eastAsia" w:ascii="仿宋" w:hAnsi="仿宋" w:eastAsia="仿宋" w:cs="宋体"/>
                <w:kern w:val="0"/>
                <w:sz w:val="18"/>
                <w:szCs w:val="18"/>
              </w:rPr>
              <w:t>月末：</w:t>
            </w:r>
            <w:r>
              <w:rPr>
                <w:rFonts w:ascii="仿宋" w:hAnsi="仿宋" w:eastAsia="仿宋" w:cs="宋体"/>
                <w:kern w:val="0"/>
                <w:sz w:val="18"/>
                <w:szCs w:val="18"/>
              </w:rPr>
              <w:t xml:space="preserve">  %</w:t>
            </w:r>
          </w:p>
        </w:tc>
        <w:tc>
          <w:tcPr>
            <w:tcW w:w="2284" w:type="dxa"/>
            <w:vAlign w:val="center"/>
          </w:tcPr>
          <w:p>
            <w:pPr>
              <w:widowControl/>
              <w:jc w:val="left"/>
              <w:rPr>
                <w:rFonts w:ascii="仿宋" w:hAnsi="仿宋" w:eastAsia="仿宋" w:cs="宋体"/>
                <w:kern w:val="0"/>
                <w:sz w:val="18"/>
                <w:szCs w:val="18"/>
              </w:rPr>
            </w:pPr>
            <w:r>
              <w:rPr>
                <w:rFonts w:ascii="仿宋" w:hAnsi="仿宋" w:eastAsia="仿宋" w:cs="宋体"/>
                <w:kern w:val="0"/>
                <w:sz w:val="18"/>
                <w:szCs w:val="18"/>
              </w:rPr>
              <w:t>2021</w:t>
            </w:r>
            <w:r>
              <w:rPr>
                <w:rFonts w:hint="eastAsia" w:ascii="仿宋" w:hAnsi="仿宋" w:eastAsia="仿宋" w:cs="宋体"/>
                <w:kern w:val="0"/>
                <w:sz w:val="18"/>
                <w:szCs w:val="18"/>
              </w:rPr>
              <w:t>年</w:t>
            </w:r>
            <w:r>
              <w:rPr>
                <w:rFonts w:ascii="仿宋" w:hAnsi="仿宋" w:eastAsia="仿宋" w:cs="宋体"/>
                <w:kern w:val="0"/>
                <w:sz w:val="18"/>
                <w:szCs w:val="18"/>
              </w:rPr>
              <w:t>12</w:t>
            </w:r>
            <w:r>
              <w:rPr>
                <w:rFonts w:hint="eastAsia" w:ascii="仿宋" w:hAnsi="仿宋" w:eastAsia="仿宋" w:cs="宋体"/>
                <w:kern w:val="0"/>
                <w:sz w:val="18"/>
                <w:szCs w:val="18"/>
              </w:rPr>
              <w:t>月末总行数据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525" w:type="dxa"/>
            <w:vMerge w:val="continue"/>
            <w:vAlign w:val="center"/>
          </w:tcPr>
          <w:p>
            <w:pPr>
              <w:widowControl/>
              <w:jc w:val="left"/>
              <w:rPr>
                <w:rFonts w:ascii="仿宋" w:hAnsi="仿宋" w:eastAsia="仿宋" w:cs="宋体"/>
                <w:kern w:val="0"/>
                <w:sz w:val="18"/>
                <w:szCs w:val="18"/>
              </w:rPr>
            </w:pPr>
          </w:p>
        </w:tc>
        <w:tc>
          <w:tcPr>
            <w:tcW w:w="728" w:type="dxa"/>
            <w:vMerge w:val="continue"/>
            <w:vAlign w:val="center"/>
          </w:tcPr>
          <w:p>
            <w:pPr>
              <w:widowControl/>
              <w:jc w:val="left"/>
              <w:rPr>
                <w:rFonts w:ascii="仿宋" w:hAnsi="仿宋" w:eastAsia="仿宋" w:cs="宋体"/>
                <w:kern w:val="0"/>
                <w:sz w:val="18"/>
                <w:szCs w:val="18"/>
              </w:rPr>
            </w:pPr>
          </w:p>
        </w:tc>
        <w:tc>
          <w:tcPr>
            <w:tcW w:w="1184" w:type="dxa"/>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不良贷款率</w:t>
            </w:r>
          </w:p>
        </w:tc>
        <w:tc>
          <w:tcPr>
            <w:tcW w:w="3816" w:type="dxa"/>
            <w:vAlign w:val="center"/>
          </w:tcPr>
          <w:p>
            <w:pPr>
              <w:widowControl/>
              <w:jc w:val="left"/>
              <w:rPr>
                <w:rFonts w:ascii="仿宋" w:hAnsi="仿宋" w:eastAsia="仿宋" w:cs="宋体"/>
                <w:kern w:val="0"/>
                <w:sz w:val="18"/>
                <w:szCs w:val="18"/>
              </w:rPr>
            </w:pPr>
            <w:r>
              <w:rPr>
                <w:rFonts w:ascii="仿宋" w:hAnsi="仿宋" w:eastAsia="仿宋" w:cs="宋体"/>
                <w:kern w:val="0"/>
                <w:sz w:val="18"/>
                <w:szCs w:val="18"/>
              </w:rPr>
              <w:t>2021</w:t>
            </w:r>
            <w:r>
              <w:rPr>
                <w:rFonts w:hint="eastAsia" w:ascii="仿宋" w:hAnsi="仿宋" w:eastAsia="仿宋" w:cs="宋体"/>
                <w:kern w:val="0"/>
                <w:sz w:val="18"/>
                <w:szCs w:val="18"/>
              </w:rPr>
              <w:t>年</w:t>
            </w:r>
            <w:r>
              <w:rPr>
                <w:rFonts w:ascii="仿宋" w:hAnsi="仿宋" w:eastAsia="仿宋" w:cs="宋体"/>
                <w:kern w:val="0"/>
                <w:sz w:val="18"/>
                <w:szCs w:val="18"/>
              </w:rPr>
              <w:t>12</w:t>
            </w:r>
            <w:r>
              <w:rPr>
                <w:rFonts w:hint="eastAsia" w:ascii="仿宋" w:hAnsi="仿宋" w:eastAsia="仿宋" w:cs="宋体"/>
                <w:kern w:val="0"/>
                <w:sz w:val="18"/>
                <w:szCs w:val="18"/>
              </w:rPr>
              <w:t>月末：</w:t>
            </w:r>
            <w:r>
              <w:rPr>
                <w:rFonts w:ascii="仿宋" w:hAnsi="仿宋" w:eastAsia="仿宋" w:cs="宋体"/>
                <w:kern w:val="0"/>
                <w:sz w:val="18"/>
                <w:szCs w:val="18"/>
              </w:rPr>
              <w:t xml:space="preserve">  %</w:t>
            </w:r>
          </w:p>
        </w:tc>
        <w:tc>
          <w:tcPr>
            <w:tcW w:w="2284" w:type="dxa"/>
            <w:vAlign w:val="center"/>
          </w:tcPr>
          <w:p>
            <w:pPr>
              <w:widowControl/>
              <w:jc w:val="left"/>
              <w:rPr>
                <w:rFonts w:ascii="仿宋" w:hAnsi="仿宋" w:eastAsia="仿宋" w:cs="宋体"/>
                <w:kern w:val="0"/>
                <w:sz w:val="18"/>
                <w:szCs w:val="18"/>
              </w:rPr>
            </w:pPr>
            <w:r>
              <w:rPr>
                <w:rFonts w:ascii="仿宋" w:hAnsi="仿宋" w:eastAsia="仿宋" w:cs="宋体"/>
                <w:kern w:val="0"/>
                <w:sz w:val="18"/>
                <w:szCs w:val="18"/>
              </w:rPr>
              <w:t>2021</w:t>
            </w:r>
            <w:r>
              <w:rPr>
                <w:rFonts w:hint="eastAsia" w:ascii="仿宋" w:hAnsi="仿宋" w:eastAsia="仿宋" w:cs="宋体"/>
                <w:kern w:val="0"/>
                <w:sz w:val="18"/>
                <w:szCs w:val="18"/>
              </w:rPr>
              <w:t>年</w:t>
            </w:r>
            <w:r>
              <w:rPr>
                <w:rFonts w:ascii="仿宋" w:hAnsi="仿宋" w:eastAsia="仿宋" w:cs="宋体"/>
                <w:kern w:val="0"/>
                <w:sz w:val="18"/>
                <w:szCs w:val="18"/>
              </w:rPr>
              <w:t>12</w:t>
            </w:r>
            <w:r>
              <w:rPr>
                <w:rFonts w:hint="eastAsia" w:ascii="仿宋" w:hAnsi="仿宋" w:eastAsia="仿宋" w:cs="宋体"/>
                <w:kern w:val="0"/>
                <w:sz w:val="18"/>
                <w:szCs w:val="18"/>
              </w:rPr>
              <w:t>月末总行数据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525" w:type="dxa"/>
            <w:vMerge w:val="continue"/>
            <w:vAlign w:val="center"/>
          </w:tcPr>
          <w:p>
            <w:pPr>
              <w:widowControl/>
              <w:jc w:val="left"/>
              <w:rPr>
                <w:rFonts w:ascii="仿宋" w:hAnsi="仿宋" w:eastAsia="仿宋" w:cs="宋体"/>
                <w:kern w:val="0"/>
                <w:sz w:val="18"/>
                <w:szCs w:val="18"/>
              </w:rPr>
            </w:pPr>
          </w:p>
        </w:tc>
        <w:tc>
          <w:tcPr>
            <w:tcW w:w="728" w:type="dxa"/>
            <w:vMerge w:val="continue"/>
            <w:vAlign w:val="center"/>
          </w:tcPr>
          <w:p>
            <w:pPr>
              <w:widowControl/>
              <w:jc w:val="left"/>
              <w:rPr>
                <w:rFonts w:ascii="仿宋" w:hAnsi="仿宋" w:eastAsia="仿宋" w:cs="宋体"/>
                <w:kern w:val="0"/>
                <w:sz w:val="18"/>
                <w:szCs w:val="18"/>
              </w:rPr>
            </w:pPr>
          </w:p>
        </w:tc>
        <w:tc>
          <w:tcPr>
            <w:tcW w:w="1184" w:type="dxa"/>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拨备覆盖率</w:t>
            </w:r>
          </w:p>
        </w:tc>
        <w:tc>
          <w:tcPr>
            <w:tcW w:w="3816" w:type="dxa"/>
            <w:vAlign w:val="center"/>
          </w:tcPr>
          <w:p>
            <w:pPr>
              <w:widowControl/>
              <w:jc w:val="left"/>
              <w:rPr>
                <w:rFonts w:ascii="仿宋" w:hAnsi="仿宋" w:eastAsia="仿宋" w:cs="宋体"/>
                <w:kern w:val="0"/>
                <w:sz w:val="18"/>
                <w:szCs w:val="18"/>
              </w:rPr>
            </w:pPr>
            <w:r>
              <w:rPr>
                <w:rFonts w:ascii="仿宋" w:hAnsi="仿宋" w:eastAsia="仿宋" w:cs="宋体"/>
                <w:kern w:val="0"/>
                <w:sz w:val="18"/>
                <w:szCs w:val="18"/>
              </w:rPr>
              <w:t>2021</w:t>
            </w:r>
            <w:r>
              <w:rPr>
                <w:rFonts w:hint="eastAsia" w:ascii="仿宋" w:hAnsi="仿宋" w:eastAsia="仿宋" w:cs="宋体"/>
                <w:kern w:val="0"/>
                <w:sz w:val="18"/>
                <w:szCs w:val="18"/>
              </w:rPr>
              <w:t>年</w:t>
            </w:r>
            <w:r>
              <w:rPr>
                <w:rFonts w:ascii="仿宋" w:hAnsi="仿宋" w:eastAsia="仿宋" w:cs="宋体"/>
                <w:kern w:val="0"/>
                <w:sz w:val="18"/>
                <w:szCs w:val="18"/>
              </w:rPr>
              <w:t>12</w:t>
            </w:r>
            <w:r>
              <w:rPr>
                <w:rFonts w:hint="eastAsia" w:ascii="仿宋" w:hAnsi="仿宋" w:eastAsia="仿宋" w:cs="宋体"/>
                <w:kern w:val="0"/>
                <w:sz w:val="18"/>
                <w:szCs w:val="18"/>
              </w:rPr>
              <w:t>月末：</w:t>
            </w:r>
            <w:r>
              <w:rPr>
                <w:rFonts w:ascii="仿宋" w:hAnsi="仿宋" w:eastAsia="仿宋" w:cs="宋体"/>
                <w:kern w:val="0"/>
                <w:sz w:val="18"/>
                <w:szCs w:val="18"/>
              </w:rPr>
              <w:t xml:space="preserve">  %</w:t>
            </w:r>
          </w:p>
        </w:tc>
        <w:tc>
          <w:tcPr>
            <w:tcW w:w="2284" w:type="dxa"/>
            <w:vAlign w:val="center"/>
          </w:tcPr>
          <w:p>
            <w:pPr>
              <w:widowControl/>
              <w:jc w:val="left"/>
              <w:rPr>
                <w:rFonts w:ascii="仿宋" w:hAnsi="仿宋" w:eastAsia="仿宋" w:cs="宋体"/>
                <w:kern w:val="0"/>
                <w:sz w:val="18"/>
                <w:szCs w:val="18"/>
              </w:rPr>
            </w:pPr>
            <w:r>
              <w:rPr>
                <w:rFonts w:ascii="仿宋" w:hAnsi="仿宋" w:eastAsia="仿宋" w:cs="宋体"/>
                <w:kern w:val="0"/>
                <w:sz w:val="18"/>
                <w:szCs w:val="18"/>
              </w:rPr>
              <w:t>2021</w:t>
            </w:r>
            <w:r>
              <w:rPr>
                <w:rFonts w:hint="eastAsia" w:ascii="仿宋" w:hAnsi="仿宋" w:eastAsia="仿宋" w:cs="宋体"/>
                <w:kern w:val="0"/>
                <w:sz w:val="18"/>
                <w:szCs w:val="18"/>
              </w:rPr>
              <w:t>年</w:t>
            </w:r>
            <w:r>
              <w:rPr>
                <w:rFonts w:ascii="仿宋" w:hAnsi="仿宋" w:eastAsia="仿宋" w:cs="宋体"/>
                <w:kern w:val="0"/>
                <w:sz w:val="18"/>
                <w:szCs w:val="18"/>
              </w:rPr>
              <w:t>12</w:t>
            </w:r>
            <w:r>
              <w:rPr>
                <w:rFonts w:hint="eastAsia" w:ascii="仿宋" w:hAnsi="仿宋" w:eastAsia="仿宋" w:cs="宋体"/>
                <w:kern w:val="0"/>
                <w:sz w:val="18"/>
                <w:szCs w:val="18"/>
              </w:rPr>
              <w:t>月末总行数据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525" w:type="dxa"/>
            <w:vMerge w:val="continue"/>
            <w:vAlign w:val="center"/>
          </w:tcPr>
          <w:p>
            <w:pPr>
              <w:widowControl/>
              <w:jc w:val="left"/>
              <w:rPr>
                <w:rFonts w:ascii="仿宋" w:hAnsi="仿宋" w:eastAsia="仿宋" w:cs="宋体"/>
                <w:kern w:val="0"/>
                <w:sz w:val="18"/>
                <w:szCs w:val="18"/>
              </w:rPr>
            </w:pPr>
          </w:p>
        </w:tc>
        <w:tc>
          <w:tcPr>
            <w:tcW w:w="728" w:type="dxa"/>
            <w:vMerge w:val="continue"/>
            <w:vAlign w:val="center"/>
          </w:tcPr>
          <w:p>
            <w:pPr>
              <w:widowControl/>
              <w:jc w:val="left"/>
              <w:rPr>
                <w:rFonts w:ascii="仿宋" w:hAnsi="仿宋" w:eastAsia="仿宋" w:cs="宋体"/>
                <w:kern w:val="0"/>
                <w:sz w:val="18"/>
                <w:szCs w:val="18"/>
              </w:rPr>
            </w:pPr>
          </w:p>
        </w:tc>
        <w:tc>
          <w:tcPr>
            <w:tcW w:w="1184" w:type="dxa"/>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流动性覆盖率</w:t>
            </w:r>
          </w:p>
        </w:tc>
        <w:tc>
          <w:tcPr>
            <w:tcW w:w="3816" w:type="dxa"/>
            <w:vAlign w:val="center"/>
          </w:tcPr>
          <w:p>
            <w:pPr>
              <w:widowControl/>
              <w:jc w:val="left"/>
              <w:rPr>
                <w:rFonts w:ascii="仿宋" w:hAnsi="仿宋" w:eastAsia="仿宋" w:cs="宋体"/>
                <w:kern w:val="0"/>
                <w:sz w:val="18"/>
                <w:szCs w:val="18"/>
              </w:rPr>
            </w:pPr>
            <w:r>
              <w:rPr>
                <w:rFonts w:ascii="仿宋" w:hAnsi="仿宋" w:eastAsia="仿宋" w:cs="宋体"/>
                <w:kern w:val="0"/>
                <w:sz w:val="18"/>
                <w:szCs w:val="18"/>
              </w:rPr>
              <w:t>2021</w:t>
            </w:r>
            <w:r>
              <w:rPr>
                <w:rFonts w:hint="eastAsia" w:ascii="仿宋" w:hAnsi="仿宋" w:eastAsia="仿宋" w:cs="宋体"/>
                <w:kern w:val="0"/>
                <w:sz w:val="18"/>
                <w:szCs w:val="18"/>
              </w:rPr>
              <w:t>年</w:t>
            </w:r>
            <w:r>
              <w:rPr>
                <w:rFonts w:ascii="仿宋" w:hAnsi="仿宋" w:eastAsia="仿宋" w:cs="宋体"/>
                <w:kern w:val="0"/>
                <w:sz w:val="18"/>
                <w:szCs w:val="18"/>
              </w:rPr>
              <w:t>12</w:t>
            </w:r>
            <w:r>
              <w:rPr>
                <w:rFonts w:hint="eastAsia" w:ascii="仿宋" w:hAnsi="仿宋" w:eastAsia="仿宋" w:cs="宋体"/>
                <w:kern w:val="0"/>
                <w:sz w:val="18"/>
                <w:szCs w:val="18"/>
              </w:rPr>
              <w:t>月末：</w:t>
            </w:r>
            <w:r>
              <w:rPr>
                <w:rFonts w:ascii="仿宋" w:hAnsi="仿宋" w:eastAsia="仿宋" w:cs="宋体"/>
                <w:kern w:val="0"/>
                <w:sz w:val="18"/>
                <w:szCs w:val="18"/>
              </w:rPr>
              <w:t xml:space="preserve">  %</w:t>
            </w:r>
          </w:p>
        </w:tc>
        <w:tc>
          <w:tcPr>
            <w:tcW w:w="2284" w:type="dxa"/>
            <w:vAlign w:val="center"/>
          </w:tcPr>
          <w:p>
            <w:pPr>
              <w:widowControl/>
              <w:jc w:val="left"/>
              <w:rPr>
                <w:rFonts w:ascii="仿宋" w:hAnsi="仿宋" w:eastAsia="仿宋" w:cs="宋体"/>
                <w:kern w:val="0"/>
                <w:sz w:val="18"/>
                <w:szCs w:val="18"/>
              </w:rPr>
            </w:pPr>
            <w:r>
              <w:rPr>
                <w:rFonts w:ascii="仿宋" w:hAnsi="仿宋" w:eastAsia="仿宋" w:cs="宋体"/>
                <w:kern w:val="0"/>
                <w:sz w:val="18"/>
                <w:szCs w:val="18"/>
              </w:rPr>
              <w:t>2021</w:t>
            </w:r>
            <w:r>
              <w:rPr>
                <w:rFonts w:hint="eastAsia" w:ascii="仿宋" w:hAnsi="仿宋" w:eastAsia="仿宋" w:cs="宋体"/>
                <w:kern w:val="0"/>
                <w:sz w:val="18"/>
                <w:szCs w:val="18"/>
              </w:rPr>
              <w:t>年12月末总行数据（资产小于</w:t>
            </w:r>
            <w:r>
              <w:rPr>
                <w:rFonts w:ascii="仿宋" w:hAnsi="仿宋" w:eastAsia="仿宋" w:cs="宋体"/>
                <w:kern w:val="0"/>
                <w:sz w:val="18"/>
                <w:szCs w:val="18"/>
              </w:rPr>
              <w:t>2000</w:t>
            </w:r>
            <w:r>
              <w:rPr>
                <w:rFonts w:hint="eastAsia" w:ascii="仿宋" w:hAnsi="仿宋" w:eastAsia="仿宋" w:cs="宋体"/>
                <w:kern w:val="0"/>
                <w:sz w:val="18"/>
                <w:szCs w:val="18"/>
              </w:rPr>
              <w:t>亿元的商业银行不填本项）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525" w:type="dxa"/>
            <w:vMerge w:val="continue"/>
            <w:vAlign w:val="center"/>
          </w:tcPr>
          <w:p>
            <w:pPr>
              <w:widowControl/>
              <w:jc w:val="left"/>
              <w:rPr>
                <w:rFonts w:ascii="仿宋" w:hAnsi="仿宋" w:eastAsia="仿宋" w:cs="宋体"/>
                <w:kern w:val="0"/>
                <w:sz w:val="18"/>
                <w:szCs w:val="18"/>
              </w:rPr>
            </w:pPr>
          </w:p>
        </w:tc>
        <w:tc>
          <w:tcPr>
            <w:tcW w:w="728" w:type="dxa"/>
            <w:vMerge w:val="continue"/>
            <w:vAlign w:val="center"/>
          </w:tcPr>
          <w:p>
            <w:pPr>
              <w:widowControl/>
              <w:jc w:val="left"/>
              <w:rPr>
                <w:rFonts w:ascii="仿宋" w:hAnsi="仿宋" w:eastAsia="仿宋" w:cs="宋体"/>
                <w:kern w:val="0"/>
                <w:sz w:val="18"/>
                <w:szCs w:val="18"/>
              </w:rPr>
            </w:pPr>
          </w:p>
        </w:tc>
        <w:tc>
          <w:tcPr>
            <w:tcW w:w="1184" w:type="dxa"/>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流动性比例</w:t>
            </w:r>
          </w:p>
        </w:tc>
        <w:tc>
          <w:tcPr>
            <w:tcW w:w="3816" w:type="dxa"/>
            <w:vAlign w:val="center"/>
          </w:tcPr>
          <w:p>
            <w:pPr>
              <w:widowControl/>
              <w:jc w:val="left"/>
              <w:rPr>
                <w:rFonts w:ascii="仿宋" w:hAnsi="仿宋" w:eastAsia="仿宋" w:cs="宋体"/>
                <w:kern w:val="0"/>
                <w:sz w:val="18"/>
                <w:szCs w:val="18"/>
              </w:rPr>
            </w:pPr>
            <w:r>
              <w:rPr>
                <w:rFonts w:ascii="仿宋" w:hAnsi="仿宋" w:eastAsia="仿宋" w:cs="宋体"/>
                <w:kern w:val="0"/>
                <w:sz w:val="18"/>
                <w:szCs w:val="18"/>
              </w:rPr>
              <w:t>2021</w:t>
            </w:r>
            <w:r>
              <w:rPr>
                <w:rFonts w:hint="eastAsia" w:ascii="仿宋" w:hAnsi="仿宋" w:eastAsia="仿宋" w:cs="宋体"/>
                <w:kern w:val="0"/>
                <w:sz w:val="18"/>
                <w:szCs w:val="18"/>
              </w:rPr>
              <w:t>年</w:t>
            </w:r>
            <w:r>
              <w:rPr>
                <w:rFonts w:ascii="仿宋" w:hAnsi="仿宋" w:eastAsia="仿宋" w:cs="宋体"/>
                <w:kern w:val="0"/>
                <w:sz w:val="18"/>
                <w:szCs w:val="18"/>
              </w:rPr>
              <w:t>12</w:t>
            </w:r>
            <w:r>
              <w:rPr>
                <w:rFonts w:hint="eastAsia" w:ascii="仿宋" w:hAnsi="仿宋" w:eastAsia="仿宋" w:cs="宋体"/>
                <w:kern w:val="0"/>
                <w:sz w:val="18"/>
                <w:szCs w:val="18"/>
              </w:rPr>
              <w:t>月末：</w:t>
            </w:r>
            <w:r>
              <w:rPr>
                <w:rFonts w:ascii="仿宋" w:hAnsi="仿宋" w:eastAsia="仿宋" w:cs="宋体"/>
                <w:kern w:val="0"/>
                <w:sz w:val="18"/>
                <w:szCs w:val="18"/>
              </w:rPr>
              <w:t xml:space="preserve">  %</w:t>
            </w:r>
          </w:p>
        </w:tc>
        <w:tc>
          <w:tcPr>
            <w:tcW w:w="2284" w:type="dxa"/>
            <w:vAlign w:val="center"/>
          </w:tcPr>
          <w:p>
            <w:pPr>
              <w:widowControl/>
              <w:jc w:val="left"/>
              <w:rPr>
                <w:rFonts w:ascii="仿宋" w:hAnsi="仿宋" w:eastAsia="仿宋" w:cs="宋体"/>
                <w:kern w:val="0"/>
                <w:sz w:val="18"/>
                <w:szCs w:val="18"/>
              </w:rPr>
            </w:pPr>
            <w:r>
              <w:rPr>
                <w:rFonts w:ascii="仿宋" w:hAnsi="仿宋" w:eastAsia="仿宋" w:cs="宋体"/>
                <w:kern w:val="0"/>
                <w:sz w:val="18"/>
                <w:szCs w:val="18"/>
              </w:rPr>
              <w:t>2021</w:t>
            </w:r>
            <w:r>
              <w:rPr>
                <w:rFonts w:hint="eastAsia" w:ascii="仿宋" w:hAnsi="仿宋" w:eastAsia="仿宋" w:cs="宋体"/>
                <w:kern w:val="0"/>
                <w:sz w:val="18"/>
                <w:szCs w:val="18"/>
              </w:rPr>
              <w:t>年12月末总行数据（人民币）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525" w:type="dxa"/>
            <w:vAlign w:val="center"/>
          </w:tcPr>
          <w:p>
            <w:pPr>
              <w:widowControl/>
              <w:jc w:val="center"/>
              <w:rPr>
                <w:rFonts w:ascii="仿宋" w:hAnsi="仿宋" w:eastAsia="仿宋" w:cs="宋体"/>
                <w:kern w:val="0"/>
                <w:sz w:val="18"/>
                <w:szCs w:val="18"/>
              </w:rPr>
            </w:pPr>
            <w:r>
              <w:rPr>
                <w:rFonts w:ascii="仿宋" w:hAnsi="仿宋" w:eastAsia="仿宋" w:cs="宋体"/>
                <w:kern w:val="0"/>
                <w:sz w:val="18"/>
                <w:szCs w:val="18"/>
              </w:rPr>
              <w:t>2</w:t>
            </w:r>
          </w:p>
        </w:tc>
        <w:tc>
          <w:tcPr>
            <w:tcW w:w="72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收益性</w:t>
            </w:r>
          </w:p>
        </w:tc>
        <w:tc>
          <w:tcPr>
            <w:tcW w:w="1184" w:type="dxa"/>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存款利率</w:t>
            </w:r>
          </w:p>
        </w:tc>
        <w:tc>
          <w:tcPr>
            <w:tcW w:w="3816" w:type="dxa"/>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本期承诺存款利率为同期限基准利率加  </w:t>
            </w:r>
            <w:r>
              <w:rPr>
                <w:rFonts w:ascii="仿宋" w:hAnsi="仿宋" w:eastAsia="仿宋" w:cs="宋体"/>
                <w:kern w:val="0"/>
                <w:sz w:val="18"/>
                <w:szCs w:val="18"/>
              </w:rPr>
              <w:t>BP</w:t>
            </w:r>
            <w:r>
              <w:rPr>
                <w:rFonts w:hint="eastAsia" w:ascii="仿宋" w:hAnsi="仿宋" w:eastAsia="仿宋" w:cs="宋体"/>
                <w:kern w:val="0"/>
                <w:sz w:val="18"/>
                <w:szCs w:val="18"/>
              </w:rPr>
              <w:t>，每单位为</w:t>
            </w:r>
            <w:r>
              <w:rPr>
                <w:rFonts w:ascii="仿宋" w:hAnsi="仿宋" w:eastAsia="仿宋" w:cs="宋体"/>
                <w:kern w:val="0"/>
                <w:sz w:val="18"/>
                <w:szCs w:val="18"/>
              </w:rPr>
              <w:t>1BP</w:t>
            </w:r>
          </w:p>
        </w:tc>
        <w:tc>
          <w:tcPr>
            <w:tcW w:w="2284" w:type="dxa"/>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基准利率以开标当日中国人民银行西宁中心支行公布的为准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525" w:type="dxa"/>
            <w:vAlign w:val="center"/>
          </w:tcPr>
          <w:p>
            <w:pPr>
              <w:widowControl/>
              <w:jc w:val="center"/>
              <w:rPr>
                <w:rFonts w:ascii="仿宋" w:hAnsi="仿宋" w:eastAsia="仿宋" w:cs="宋体"/>
                <w:kern w:val="0"/>
                <w:sz w:val="18"/>
                <w:szCs w:val="18"/>
              </w:rPr>
            </w:pPr>
            <w:r>
              <w:rPr>
                <w:rFonts w:ascii="仿宋" w:hAnsi="仿宋" w:eastAsia="仿宋" w:cs="宋体"/>
                <w:kern w:val="0"/>
                <w:sz w:val="18"/>
                <w:szCs w:val="18"/>
              </w:rPr>
              <w:t>3</w:t>
            </w:r>
          </w:p>
        </w:tc>
        <w:tc>
          <w:tcPr>
            <w:tcW w:w="72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贡献度</w:t>
            </w:r>
          </w:p>
        </w:tc>
        <w:tc>
          <w:tcPr>
            <w:tcW w:w="1184" w:type="dxa"/>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在青海省纳税规模情况</w:t>
            </w:r>
          </w:p>
        </w:tc>
        <w:tc>
          <w:tcPr>
            <w:tcW w:w="3816" w:type="dxa"/>
            <w:vAlign w:val="center"/>
          </w:tcPr>
          <w:p>
            <w:pPr>
              <w:widowControl/>
              <w:rPr>
                <w:rFonts w:ascii="仿宋" w:hAnsi="仿宋" w:eastAsia="仿宋" w:cs="宋体"/>
                <w:kern w:val="0"/>
                <w:sz w:val="18"/>
                <w:szCs w:val="18"/>
              </w:rPr>
            </w:pPr>
            <w:r>
              <w:rPr>
                <w:rFonts w:ascii="仿宋" w:hAnsi="仿宋" w:eastAsia="仿宋" w:cs="宋体"/>
                <w:kern w:val="0"/>
                <w:sz w:val="18"/>
                <w:szCs w:val="18"/>
              </w:rPr>
              <w:t>2021</w:t>
            </w:r>
            <w:r>
              <w:rPr>
                <w:rFonts w:hint="eastAsia" w:ascii="仿宋" w:hAnsi="仿宋" w:eastAsia="仿宋" w:cs="宋体"/>
                <w:kern w:val="0"/>
                <w:sz w:val="18"/>
                <w:szCs w:val="18"/>
              </w:rPr>
              <w:t xml:space="preserve">年度应纳税额 </w:t>
            </w:r>
            <w:r>
              <w:rPr>
                <w:rFonts w:ascii="仿宋" w:hAnsi="仿宋" w:eastAsia="仿宋" w:cs="宋体"/>
                <w:kern w:val="0"/>
                <w:sz w:val="18"/>
                <w:szCs w:val="18"/>
              </w:rPr>
              <w:t xml:space="preserve"> </w:t>
            </w:r>
            <w:r>
              <w:rPr>
                <w:rFonts w:hint="eastAsia" w:ascii="仿宋" w:hAnsi="仿宋" w:eastAsia="仿宋" w:cs="宋体"/>
                <w:kern w:val="0"/>
                <w:sz w:val="18"/>
                <w:szCs w:val="18"/>
              </w:rPr>
              <w:t>万元，其中，个人所得税</w:t>
            </w:r>
            <w:r>
              <w:rPr>
                <w:rFonts w:ascii="仿宋" w:hAnsi="仿宋" w:eastAsia="仿宋" w:cs="宋体"/>
                <w:kern w:val="0"/>
                <w:sz w:val="18"/>
                <w:szCs w:val="18"/>
              </w:rPr>
              <w:t xml:space="preserve">  </w:t>
            </w:r>
            <w:r>
              <w:rPr>
                <w:rFonts w:hint="eastAsia" w:ascii="仿宋" w:hAnsi="仿宋" w:eastAsia="仿宋" w:cs="宋体"/>
                <w:kern w:val="0"/>
                <w:sz w:val="18"/>
                <w:szCs w:val="18"/>
              </w:rPr>
              <w:t>万元，企业所得税</w:t>
            </w:r>
            <w:r>
              <w:rPr>
                <w:rFonts w:ascii="仿宋" w:hAnsi="仿宋" w:eastAsia="仿宋" w:cs="宋体"/>
                <w:kern w:val="0"/>
                <w:sz w:val="18"/>
                <w:szCs w:val="18"/>
              </w:rPr>
              <w:t xml:space="preserve">  </w:t>
            </w:r>
            <w:r>
              <w:rPr>
                <w:rFonts w:hint="eastAsia" w:ascii="仿宋" w:hAnsi="仿宋" w:eastAsia="仿宋" w:cs="宋体"/>
                <w:kern w:val="0"/>
                <w:sz w:val="18"/>
                <w:szCs w:val="18"/>
              </w:rPr>
              <w:t>万元，增值税</w:t>
            </w:r>
            <w:r>
              <w:rPr>
                <w:rFonts w:ascii="仿宋" w:hAnsi="仿宋" w:eastAsia="仿宋" w:cs="宋体"/>
                <w:kern w:val="0"/>
                <w:sz w:val="18"/>
                <w:szCs w:val="18"/>
              </w:rPr>
              <w:t xml:space="preserve">  </w:t>
            </w:r>
            <w:r>
              <w:rPr>
                <w:rFonts w:hint="eastAsia" w:ascii="仿宋" w:hAnsi="仿宋" w:eastAsia="仿宋" w:cs="宋体"/>
                <w:kern w:val="0"/>
                <w:sz w:val="18"/>
                <w:szCs w:val="18"/>
              </w:rPr>
              <w:t>万元</w:t>
            </w:r>
          </w:p>
        </w:tc>
        <w:tc>
          <w:tcPr>
            <w:tcW w:w="2284" w:type="dxa"/>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请附：20</w:t>
            </w:r>
            <w:r>
              <w:rPr>
                <w:rFonts w:ascii="仿宋" w:hAnsi="仿宋" w:eastAsia="仿宋" w:cs="宋体"/>
                <w:kern w:val="0"/>
                <w:sz w:val="18"/>
                <w:szCs w:val="18"/>
              </w:rPr>
              <w:t>21</w:t>
            </w:r>
            <w:r>
              <w:rPr>
                <w:rFonts w:hint="eastAsia" w:ascii="仿宋" w:hAnsi="仿宋" w:eastAsia="仿宋" w:cs="宋体"/>
                <w:kern w:val="0"/>
                <w:sz w:val="18"/>
                <w:szCs w:val="18"/>
              </w:rPr>
              <w:t>年度增值税和企业所得税纳税申报表、个人所得税统计表（万元），每项均需盖公章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525" w:type="dxa"/>
            <w:tcBorders>
              <w:bottom w:val="single" w:color="auto" w:sz="4" w:space="0"/>
            </w:tcBorders>
            <w:vAlign w:val="center"/>
          </w:tcPr>
          <w:p>
            <w:pPr>
              <w:widowControl/>
              <w:jc w:val="center"/>
              <w:rPr>
                <w:rFonts w:ascii="仿宋" w:hAnsi="仿宋" w:eastAsia="仿宋" w:cs="宋体"/>
                <w:kern w:val="0"/>
                <w:sz w:val="18"/>
                <w:szCs w:val="18"/>
              </w:rPr>
            </w:pPr>
            <w:r>
              <w:rPr>
                <w:rFonts w:ascii="仿宋" w:hAnsi="仿宋" w:eastAsia="仿宋" w:cs="宋体"/>
                <w:kern w:val="0"/>
                <w:sz w:val="18"/>
                <w:szCs w:val="18"/>
              </w:rPr>
              <w:t>4</w:t>
            </w:r>
          </w:p>
        </w:tc>
        <w:tc>
          <w:tcPr>
            <w:tcW w:w="728" w:type="dxa"/>
            <w:tcBorders>
              <w:bottom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其他事项</w:t>
            </w:r>
          </w:p>
        </w:tc>
        <w:tc>
          <w:tcPr>
            <w:tcW w:w="1184" w:type="dxa"/>
            <w:tcBorders>
              <w:bottom w:val="single" w:color="auto" w:sz="4" w:space="0"/>
            </w:tcBorders>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一般性存款余额</w:t>
            </w:r>
          </w:p>
        </w:tc>
        <w:tc>
          <w:tcPr>
            <w:tcW w:w="3816" w:type="dxa"/>
            <w:tcBorders>
              <w:bottom w:val="single" w:color="auto" w:sz="4" w:space="0"/>
            </w:tcBorders>
            <w:vAlign w:val="center"/>
          </w:tcPr>
          <w:p>
            <w:pPr>
              <w:widowControl/>
              <w:jc w:val="left"/>
              <w:rPr>
                <w:rFonts w:ascii="仿宋" w:hAnsi="仿宋" w:eastAsia="仿宋" w:cs="宋体"/>
                <w:kern w:val="0"/>
                <w:sz w:val="18"/>
                <w:szCs w:val="18"/>
              </w:rPr>
            </w:pPr>
            <w:r>
              <w:rPr>
                <w:rFonts w:ascii="仿宋" w:hAnsi="仿宋" w:eastAsia="仿宋" w:cs="宋体"/>
                <w:kern w:val="0"/>
                <w:sz w:val="18"/>
                <w:szCs w:val="18"/>
              </w:rPr>
              <w:t>20</w:t>
            </w:r>
            <w:r>
              <w:rPr>
                <w:rFonts w:hint="eastAsia" w:ascii="仿宋" w:hAnsi="仿宋" w:eastAsia="仿宋" w:cs="宋体"/>
                <w:kern w:val="0"/>
                <w:sz w:val="18"/>
                <w:szCs w:val="18"/>
              </w:rPr>
              <w:t>2</w:t>
            </w:r>
            <w:r>
              <w:rPr>
                <w:rFonts w:ascii="仿宋" w:hAnsi="仿宋" w:eastAsia="仿宋" w:cs="宋体"/>
                <w:kern w:val="0"/>
                <w:sz w:val="18"/>
                <w:szCs w:val="18"/>
              </w:rPr>
              <w:t>3</w:t>
            </w:r>
            <w:r>
              <w:rPr>
                <w:rFonts w:hint="eastAsia" w:ascii="仿宋" w:hAnsi="仿宋" w:eastAsia="仿宋" w:cs="宋体"/>
                <w:kern w:val="0"/>
                <w:sz w:val="18"/>
                <w:szCs w:val="18"/>
              </w:rPr>
              <w:t>年</w:t>
            </w:r>
            <w:r>
              <w:rPr>
                <w:rFonts w:ascii="仿宋" w:hAnsi="仿宋" w:eastAsia="仿宋" w:cs="宋体"/>
                <w:kern w:val="0"/>
                <w:sz w:val="18"/>
                <w:szCs w:val="18"/>
              </w:rPr>
              <w:t>3</w:t>
            </w:r>
            <w:r>
              <w:rPr>
                <w:rFonts w:hint="eastAsia" w:ascii="仿宋" w:hAnsi="仿宋" w:eastAsia="仿宋" w:cs="宋体"/>
                <w:kern w:val="0"/>
                <w:sz w:val="18"/>
                <w:szCs w:val="18"/>
              </w:rPr>
              <w:t>月</w:t>
            </w:r>
            <w:r>
              <w:rPr>
                <w:rFonts w:ascii="仿宋" w:hAnsi="仿宋" w:eastAsia="仿宋" w:cs="宋体"/>
                <w:kern w:val="0"/>
                <w:sz w:val="18"/>
                <w:szCs w:val="18"/>
              </w:rPr>
              <w:t>23</w:t>
            </w:r>
            <w:r>
              <w:rPr>
                <w:rFonts w:hint="eastAsia" w:ascii="仿宋" w:hAnsi="仿宋" w:eastAsia="仿宋" w:cs="宋体"/>
                <w:kern w:val="0"/>
                <w:sz w:val="18"/>
                <w:szCs w:val="18"/>
              </w:rPr>
              <w:t>日末： 亿元</w:t>
            </w:r>
          </w:p>
        </w:tc>
        <w:tc>
          <w:tcPr>
            <w:tcW w:w="2284" w:type="dxa"/>
            <w:tcBorders>
              <w:bottom w:val="single" w:color="auto" w:sz="4" w:space="0"/>
            </w:tcBorders>
            <w:vAlign w:val="center"/>
          </w:tcPr>
          <w:p>
            <w:pPr>
              <w:widowControl/>
              <w:jc w:val="left"/>
              <w:rPr>
                <w:rFonts w:ascii="仿宋" w:hAnsi="仿宋" w:eastAsia="仿宋" w:cs="宋体"/>
                <w:kern w:val="0"/>
                <w:sz w:val="18"/>
                <w:szCs w:val="18"/>
              </w:rPr>
            </w:pPr>
            <w:r>
              <w:rPr>
                <w:rFonts w:ascii="仿宋" w:hAnsi="仿宋" w:eastAsia="仿宋" w:cs="宋体"/>
                <w:kern w:val="0"/>
                <w:sz w:val="18"/>
                <w:szCs w:val="18"/>
              </w:rPr>
              <w:t>20</w:t>
            </w:r>
            <w:r>
              <w:rPr>
                <w:rFonts w:hint="eastAsia" w:ascii="仿宋" w:hAnsi="仿宋" w:eastAsia="仿宋" w:cs="宋体"/>
                <w:kern w:val="0"/>
                <w:sz w:val="18"/>
                <w:szCs w:val="18"/>
              </w:rPr>
              <w:t>2</w:t>
            </w:r>
            <w:r>
              <w:rPr>
                <w:rFonts w:ascii="仿宋" w:hAnsi="仿宋" w:eastAsia="仿宋" w:cs="宋体"/>
                <w:kern w:val="0"/>
                <w:sz w:val="18"/>
                <w:szCs w:val="18"/>
              </w:rPr>
              <w:t>3</w:t>
            </w:r>
            <w:r>
              <w:rPr>
                <w:rFonts w:hint="eastAsia" w:ascii="仿宋" w:hAnsi="仿宋" w:eastAsia="仿宋" w:cs="宋体"/>
                <w:kern w:val="0"/>
                <w:sz w:val="18"/>
                <w:szCs w:val="18"/>
              </w:rPr>
              <w:t>年</w:t>
            </w:r>
            <w:r>
              <w:rPr>
                <w:rFonts w:hint="default" w:ascii="仿宋" w:hAnsi="仿宋" w:eastAsia="仿宋" w:cs="宋体"/>
                <w:kern w:val="0"/>
                <w:sz w:val="18"/>
                <w:szCs w:val="18"/>
                <w:lang w:val="en"/>
              </w:rPr>
              <w:t>3</w:t>
            </w:r>
            <w:r>
              <w:rPr>
                <w:rFonts w:hint="eastAsia" w:ascii="仿宋" w:hAnsi="仿宋" w:eastAsia="仿宋" w:cs="宋体"/>
                <w:kern w:val="0"/>
                <w:sz w:val="18"/>
                <w:szCs w:val="18"/>
              </w:rPr>
              <w:t>月</w:t>
            </w:r>
            <w:r>
              <w:rPr>
                <w:rFonts w:hint="default" w:ascii="仿宋" w:hAnsi="仿宋" w:eastAsia="仿宋" w:cs="宋体"/>
                <w:kern w:val="0"/>
                <w:sz w:val="18"/>
                <w:szCs w:val="18"/>
                <w:lang w:val="en"/>
              </w:rPr>
              <w:t>23</w:t>
            </w:r>
            <w:r>
              <w:rPr>
                <w:rFonts w:hint="eastAsia" w:ascii="仿宋" w:hAnsi="仿宋" w:eastAsia="仿宋" w:cs="宋体"/>
                <w:kern w:val="0"/>
                <w:sz w:val="18"/>
                <w:szCs w:val="18"/>
              </w:rPr>
              <w:t>日末省级分行数据，以银行填报数据为准，数据与实际不相符，责任自负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537" w:type="dxa"/>
            <w:gridSpan w:val="5"/>
            <w:tcBorders>
              <w:top w:val="single" w:color="auto" w:sz="4" w:space="0"/>
              <w:left w:val="nil"/>
              <w:bottom w:val="nil"/>
              <w:right w:val="nil"/>
            </w:tcBorders>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注：保留两位小数</w:t>
            </w:r>
          </w:p>
        </w:tc>
      </w:tr>
    </w:tbl>
    <w:p>
      <w:pPr>
        <w:spacing w:line="240" w:lineRule="exact"/>
        <w:ind w:firstLine="420" w:firstLineChars="150"/>
        <w:rPr>
          <w:rFonts w:ascii="华文中宋" w:hAnsi="华文中宋" w:eastAsia="华文中宋" w:cs="宋体"/>
          <w:b/>
          <w:kern w:val="0"/>
          <w:sz w:val="28"/>
          <w:szCs w:val="28"/>
        </w:rPr>
        <w:sectPr>
          <w:footerReference r:id="rId5" w:type="first"/>
          <w:headerReference r:id="rId3" w:type="default"/>
          <w:footerReference r:id="rId4" w:type="default"/>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 w:linePitch="312" w:charSpace="0"/>
        </w:sectPr>
      </w:pPr>
    </w:p>
    <w:p>
      <w:pPr>
        <w:jc w:val="center"/>
        <w:rPr>
          <w:rFonts w:ascii="华文中宋" w:hAnsi="华文中宋" w:eastAsia="华文中宋"/>
          <w:sz w:val="28"/>
          <w:szCs w:val="28"/>
        </w:rPr>
      </w:pPr>
      <w:r>
        <w:rPr>
          <w:rFonts w:hint="eastAsia" w:ascii="华文中宋" w:hAnsi="华文中宋" w:eastAsia="华文中宋"/>
          <w:sz w:val="28"/>
          <w:szCs w:val="28"/>
        </w:rPr>
        <w:t>五、投标人资格资料</w:t>
      </w:r>
    </w:p>
    <w:p>
      <w:pPr>
        <w:ind w:firstLine="560" w:firstLineChars="200"/>
        <w:rPr>
          <w:rFonts w:ascii="仿宋" w:hAnsi="仿宋" w:eastAsia="仿宋"/>
          <w:sz w:val="28"/>
          <w:szCs w:val="28"/>
        </w:rPr>
      </w:pPr>
      <w:r>
        <w:rPr>
          <w:rFonts w:hint="eastAsia" w:ascii="仿宋" w:hAnsi="仿宋" w:eastAsia="仿宋"/>
          <w:sz w:val="28"/>
          <w:szCs w:val="28"/>
        </w:rPr>
        <w:t>此处附：法定代表人任命文件（总行任命文件和银保监局批复文件）加盖公章复印件、营业执照正本加盖公章复印件、金融许可证加盖公章复印件。</w:t>
      </w:r>
    </w:p>
    <w:p>
      <w:pPr>
        <w:ind w:firstLine="560" w:firstLineChars="200"/>
        <w:rPr>
          <w:rFonts w:ascii="仿宋" w:hAnsi="仿宋" w:eastAsia="仿宋"/>
          <w:sz w:val="28"/>
          <w:szCs w:val="28"/>
        </w:rPr>
      </w:pPr>
      <w:r>
        <w:rPr>
          <w:rFonts w:hint="eastAsia" w:ascii="仿宋" w:hAnsi="仿宋" w:eastAsia="仿宋"/>
          <w:sz w:val="28"/>
          <w:szCs w:val="28"/>
        </w:rPr>
        <w:t>若</w:t>
      </w:r>
      <w:r>
        <w:rPr>
          <w:rFonts w:ascii="仿宋" w:hAnsi="仿宋" w:eastAsia="仿宋"/>
          <w:sz w:val="28"/>
          <w:szCs w:val="28"/>
        </w:rPr>
        <w:t>总行任命文件</w:t>
      </w:r>
      <w:r>
        <w:rPr>
          <w:rFonts w:hint="eastAsia" w:ascii="仿宋" w:hAnsi="仿宋" w:eastAsia="仿宋"/>
          <w:sz w:val="28"/>
          <w:szCs w:val="28"/>
        </w:rPr>
        <w:t>及银保监局批复文件所列</w:t>
      </w:r>
      <w:r>
        <w:rPr>
          <w:rFonts w:ascii="仿宋" w:hAnsi="仿宋" w:eastAsia="仿宋"/>
          <w:sz w:val="28"/>
          <w:szCs w:val="28"/>
        </w:rPr>
        <w:t>法定代表人</w:t>
      </w:r>
      <w:r>
        <w:rPr>
          <w:rFonts w:hint="eastAsia" w:ascii="仿宋" w:hAnsi="仿宋" w:eastAsia="仿宋"/>
          <w:sz w:val="28"/>
          <w:szCs w:val="28"/>
        </w:rPr>
        <w:t>因故</w:t>
      </w:r>
      <w:r>
        <w:rPr>
          <w:rFonts w:ascii="仿宋" w:hAnsi="仿宋" w:eastAsia="仿宋"/>
          <w:sz w:val="28"/>
          <w:szCs w:val="28"/>
        </w:rPr>
        <w:t>无法履行签字职责，</w:t>
      </w:r>
      <w:r>
        <w:rPr>
          <w:rFonts w:hint="eastAsia" w:ascii="仿宋" w:hAnsi="仿宋" w:eastAsia="仿宋"/>
          <w:sz w:val="28"/>
          <w:szCs w:val="28"/>
        </w:rPr>
        <w:t>转授权</w:t>
      </w:r>
      <w:r>
        <w:rPr>
          <w:rFonts w:ascii="仿宋" w:hAnsi="仿宋" w:eastAsia="仿宋"/>
          <w:sz w:val="28"/>
          <w:szCs w:val="28"/>
        </w:rPr>
        <w:t>副行长或他人</w:t>
      </w:r>
      <w:r>
        <w:rPr>
          <w:rFonts w:hint="eastAsia" w:ascii="仿宋" w:hAnsi="仿宋" w:eastAsia="仿宋"/>
          <w:sz w:val="28"/>
          <w:szCs w:val="28"/>
        </w:rPr>
        <w:t>履行</w:t>
      </w:r>
      <w:r>
        <w:rPr>
          <w:rFonts w:ascii="仿宋" w:hAnsi="仿宋" w:eastAsia="仿宋"/>
          <w:sz w:val="28"/>
          <w:szCs w:val="28"/>
        </w:rPr>
        <w:t>签字职责的，</w:t>
      </w:r>
      <w:r>
        <w:rPr>
          <w:rFonts w:hint="eastAsia" w:ascii="仿宋" w:hAnsi="仿宋" w:eastAsia="仿宋"/>
          <w:sz w:val="28"/>
          <w:szCs w:val="28"/>
        </w:rPr>
        <w:t>应</w:t>
      </w:r>
      <w:r>
        <w:rPr>
          <w:rFonts w:ascii="仿宋" w:hAnsi="仿宋" w:eastAsia="仿宋"/>
          <w:sz w:val="28"/>
          <w:szCs w:val="28"/>
        </w:rPr>
        <w:t>出示转授权书。</w:t>
      </w:r>
    </w:p>
    <w:p>
      <w:pPr>
        <w:ind w:firstLine="560" w:firstLineChars="200"/>
        <w:rPr>
          <w:rFonts w:ascii="仿宋_GB2312" w:eastAsia="仿宋_GB2312"/>
          <w:sz w:val="28"/>
          <w:szCs w:val="28"/>
        </w:rPr>
      </w:pPr>
    </w:p>
    <w:p>
      <w:pPr>
        <w:jc w:val="center"/>
        <w:rPr>
          <w:rFonts w:ascii="华文中宋" w:hAnsi="华文中宋" w:eastAsia="华文中宋"/>
          <w:sz w:val="28"/>
          <w:szCs w:val="28"/>
        </w:rPr>
      </w:pPr>
      <w:r>
        <w:rPr>
          <w:rFonts w:hint="eastAsia" w:ascii="华文中宋" w:hAnsi="华文中宋" w:eastAsia="华文中宋"/>
          <w:sz w:val="28"/>
          <w:szCs w:val="28"/>
        </w:rPr>
        <w:t>六、投标方案</w:t>
      </w:r>
    </w:p>
    <w:p>
      <w:pPr>
        <w:ind w:firstLine="560" w:firstLineChars="200"/>
        <w:rPr>
          <w:rFonts w:ascii="仿宋" w:hAnsi="仿宋" w:eastAsia="仿宋"/>
          <w:sz w:val="28"/>
          <w:szCs w:val="28"/>
        </w:rPr>
      </w:pPr>
      <w:r>
        <w:rPr>
          <w:rFonts w:hint="eastAsia" w:ascii="仿宋" w:hAnsi="仿宋" w:eastAsia="仿宋"/>
          <w:sz w:val="28"/>
          <w:szCs w:val="28"/>
        </w:rPr>
        <w:t>投标方案应包括但不限于以下内容：投标人基本情况介绍；支持青海省经济发展情况；代理</w:t>
      </w:r>
      <w:r>
        <w:rPr>
          <w:rFonts w:ascii="仿宋" w:hAnsi="仿宋" w:eastAsia="仿宋"/>
          <w:sz w:val="28"/>
          <w:szCs w:val="28"/>
        </w:rPr>
        <w:t>财政国库业务情况；配备专门机构和人员衔接财政国库管理相关工作</w:t>
      </w:r>
      <w:r>
        <w:rPr>
          <w:rFonts w:hint="eastAsia" w:ascii="仿宋" w:hAnsi="仿宋" w:eastAsia="仿宋"/>
          <w:sz w:val="28"/>
          <w:szCs w:val="28"/>
        </w:rPr>
        <w:t>情况；代理人民银行国库业务情况；保证存款资金安全性的措施；制度建设、内部管理相关情况；其它需要说明的内容。</w:t>
      </w:r>
    </w:p>
    <w:p>
      <w:pPr>
        <w:ind w:firstLine="420" w:firstLineChars="200"/>
      </w:pPr>
    </w:p>
    <w:sectPr>
      <w:pgSz w:w="11906" w:h="16838"/>
      <w:pgMar w:top="1440" w:right="1797" w:bottom="1440" w:left="1797" w:header="851" w:footer="992" w:gutter="0"/>
      <w:pgBorders>
        <w:top w:val="none" w:sz="0" w:space="0"/>
        <w:left w:val="none" w:sz="0" w:space="0"/>
        <w:bottom w:val="none" w:sz="0" w:space="0"/>
        <w:right w:val="none" w:sz="0" w:space="0"/>
      </w:pgBorders>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t>- 15 -</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w:t>
    </w:r>
    <w:r>
      <w:t xml:space="preserve"> 1 -</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doNotShadeFormData w:val="true"/>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07BC"/>
    <w:rsid w:val="000812E9"/>
    <w:rsid w:val="00090B99"/>
    <w:rsid w:val="00093320"/>
    <w:rsid w:val="000C01CA"/>
    <w:rsid w:val="000E3319"/>
    <w:rsid w:val="00100C48"/>
    <w:rsid w:val="00115E21"/>
    <w:rsid w:val="0012295A"/>
    <w:rsid w:val="00124D5A"/>
    <w:rsid w:val="0012634C"/>
    <w:rsid w:val="00135D6A"/>
    <w:rsid w:val="00136BCA"/>
    <w:rsid w:val="001511C7"/>
    <w:rsid w:val="00172A27"/>
    <w:rsid w:val="00177DBE"/>
    <w:rsid w:val="001D3EEA"/>
    <w:rsid w:val="001E39AC"/>
    <w:rsid w:val="001F759D"/>
    <w:rsid w:val="0021186A"/>
    <w:rsid w:val="00220D9F"/>
    <w:rsid w:val="00235CA1"/>
    <w:rsid w:val="0025138A"/>
    <w:rsid w:val="00252C5E"/>
    <w:rsid w:val="0027511D"/>
    <w:rsid w:val="00277DE1"/>
    <w:rsid w:val="002A478F"/>
    <w:rsid w:val="002E07A3"/>
    <w:rsid w:val="002E4A4C"/>
    <w:rsid w:val="002F1F4C"/>
    <w:rsid w:val="003069F4"/>
    <w:rsid w:val="00307717"/>
    <w:rsid w:val="00307C6B"/>
    <w:rsid w:val="00324A7D"/>
    <w:rsid w:val="00333A0C"/>
    <w:rsid w:val="0036125A"/>
    <w:rsid w:val="003B6D2A"/>
    <w:rsid w:val="003C0FAB"/>
    <w:rsid w:val="003C6AEF"/>
    <w:rsid w:val="003D6CEE"/>
    <w:rsid w:val="00410B93"/>
    <w:rsid w:val="00421BB7"/>
    <w:rsid w:val="00432554"/>
    <w:rsid w:val="00460BF6"/>
    <w:rsid w:val="00486390"/>
    <w:rsid w:val="004A0591"/>
    <w:rsid w:val="004D10EF"/>
    <w:rsid w:val="004D5184"/>
    <w:rsid w:val="00527693"/>
    <w:rsid w:val="005943DD"/>
    <w:rsid w:val="005949EE"/>
    <w:rsid w:val="005B3BA6"/>
    <w:rsid w:val="005C157C"/>
    <w:rsid w:val="005E7DA3"/>
    <w:rsid w:val="00615231"/>
    <w:rsid w:val="00647404"/>
    <w:rsid w:val="00662C52"/>
    <w:rsid w:val="006724A6"/>
    <w:rsid w:val="006744EA"/>
    <w:rsid w:val="0069101F"/>
    <w:rsid w:val="006D58F8"/>
    <w:rsid w:val="006E6259"/>
    <w:rsid w:val="006E797A"/>
    <w:rsid w:val="00743415"/>
    <w:rsid w:val="00744C85"/>
    <w:rsid w:val="00751612"/>
    <w:rsid w:val="007604B4"/>
    <w:rsid w:val="00763760"/>
    <w:rsid w:val="007A248F"/>
    <w:rsid w:val="007B070A"/>
    <w:rsid w:val="007C67E6"/>
    <w:rsid w:val="007D3DAD"/>
    <w:rsid w:val="007E3F70"/>
    <w:rsid w:val="007E75B4"/>
    <w:rsid w:val="00832BCA"/>
    <w:rsid w:val="00843A2C"/>
    <w:rsid w:val="008549D2"/>
    <w:rsid w:val="0087408D"/>
    <w:rsid w:val="00894715"/>
    <w:rsid w:val="008A0ABB"/>
    <w:rsid w:val="008A276B"/>
    <w:rsid w:val="008C055F"/>
    <w:rsid w:val="008C7957"/>
    <w:rsid w:val="008D052A"/>
    <w:rsid w:val="00900BBD"/>
    <w:rsid w:val="00904EDE"/>
    <w:rsid w:val="00911D62"/>
    <w:rsid w:val="00915597"/>
    <w:rsid w:val="0093208E"/>
    <w:rsid w:val="00944A33"/>
    <w:rsid w:val="0095227C"/>
    <w:rsid w:val="009853B7"/>
    <w:rsid w:val="009C7CE7"/>
    <w:rsid w:val="009F77B7"/>
    <w:rsid w:val="00A31AE6"/>
    <w:rsid w:val="00A603CE"/>
    <w:rsid w:val="00A861ED"/>
    <w:rsid w:val="00A87813"/>
    <w:rsid w:val="00AA1DF4"/>
    <w:rsid w:val="00B0200F"/>
    <w:rsid w:val="00B065C7"/>
    <w:rsid w:val="00B06B10"/>
    <w:rsid w:val="00B32C4B"/>
    <w:rsid w:val="00B33E14"/>
    <w:rsid w:val="00B87D0F"/>
    <w:rsid w:val="00B96677"/>
    <w:rsid w:val="00BB31C9"/>
    <w:rsid w:val="00BB3581"/>
    <w:rsid w:val="00BB4872"/>
    <w:rsid w:val="00BC5DE5"/>
    <w:rsid w:val="00BE3371"/>
    <w:rsid w:val="00BE4990"/>
    <w:rsid w:val="00BF771A"/>
    <w:rsid w:val="00C1067D"/>
    <w:rsid w:val="00C15ED2"/>
    <w:rsid w:val="00C62E78"/>
    <w:rsid w:val="00C76F9F"/>
    <w:rsid w:val="00CB2764"/>
    <w:rsid w:val="00CB5592"/>
    <w:rsid w:val="00CC4FF2"/>
    <w:rsid w:val="00CC536C"/>
    <w:rsid w:val="00CD5976"/>
    <w:rsid w:val="00CE04AE"/>
    <w:rsid w:val="00D16790"/>
    <w:rsid w:val="00D230FC"/>
    <w:rsid w:val="00D5163D"/>
    <w:rsid w:val="00D93880"/>
    <w:rsid w:val="00D96579"/>
    <w:rsid w:val="00DC7B62"/>
    <w:rsid w:val="00DD6FEB"/>
    <w:rsid w:val="00DF7D48"/>
    <w:rsid w:val="00E005E7"/>
    <w:rsid w:val="00E55251"/>
    <w:rsid w:val="00E618B2"/>
    <w:rsid w:val="00E76D4B"/>
    <w:rsid w:val="00EC60EF"/>
    <w:rsid w:val="00ED1B6A"/>
    <w:rsid w:val="00ED21D6"/>
    <w:rsid w:val="00EF011D"/>
    <w:rsid w:val="00EF603A"/>
    <w:rsid w:val="00F25AB0"/>
    <w:rsid w:val="00F25E07"/>
    <w:rsid w:val="00FD78E0"/>
    <w:rsid w:val="033D4297"/>
    <w:rsid w:val="04A1700B"/>
    <w:rsid w:val="05E42CB6"/>
    <w:rsid w:val="07557695"/>
    <w:rsid w:val="0DE16C38"/>
    <w:rsid w:val="0E1C0D45"/>
    <w:rsid w:val="0E492FBC"/>
    <w:rsid w:val="13CC730A"/>
    <w:rsid w:val="19640835"/>
    <w:rsid w:val="20780352"/>
    <w:rsid w:val="23731DC5"/>
    <w:rsid w:val="2B390636"/>
    <w:rsid w:val="2BEC0D47"/>
    <w:rsid w:val="348070AE"/>
    <w:rsid w:val="3ADD70FD"/>
    <w:rsid w:val="3E9726BC"/>
    <w:rsid w:val="40440E2A"/>
    <w:rsid w:val="426B6885"/>
    <w:rsid w:val="434033E5"/>
    <w:rsid w:val="434D4C79"/>
    <w:rsid w:val="43A13E94"/>
    <w:rsid w:val="43D62DF5"/>
    <w:rsid w:val="4BBC594D"/>
    <w:rsid w:val="4F46621E"/>
    <w:rsid w:val="51F72EA1"/>
    <w:rsid w:val="55396B5E"/>
    <w:rsid w:val="580D0BFE"/>
    <w:rsid w:val="590F6FE2"/>
    <w:rsid w:val="5DC13FDF"/>
    <w:rsid w:val="5F7D55BA"/>
    <w:rsid w:val="66B06886"/>
    <w:rsid w:val="683E4D93"/>
    <w:rsid w:val="70FC6E6A"/>
    <w:rsid w:val="74312230"/>
    <w:rsid w:val="75597714"/>
    <w:rsid w:val="78C6585A"/>
    <w:rsid w:val="7BEB0D15"/>
    <w:rsid w:val="7ED7C973"/>
    <w:rsid w:val="CF970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0"/>
    <w:qFormat/>
    <w:uiPriority w:val="99"/>
    <w:pPr>
      <w:keepNext/>
      <w:keepLines/>
      <w:spacing w:before="340" w:after="330" w:line="576"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
    <w:name w:val="列出段落1"/>
    <w:basedOn w:val="1"/>
    <w:qFormat/>
    <w:uiPriority w:val="99"/>
    <w:pPr>
      <w:ind w:firstLine="420" w:firstLineChars="200"/>
    </w:pPr>
  </w:style>
  <w:style w:type="character" w:customStyle="1" w:styleId="10">
    <w:name w:val="标题 1 Char"/>
    <w:link w:val="2"/>
    <w:qFormat/>
    <w:locked/>
    <w:uiPriority w:val="99"/>
    <w:rPr>
      <w:rFonts w:cs="Times New Roman"/>
      <w:b/>
      <w:bCs/>
      <w:kern w:val="44"/>
      <w:sz w:val="44"/>
      <w:szCs w:val="44"/>
    </w:rPr>
  </w:style>
  <w:style w:type="character" w:customStyle="1" w:styleId="11">
    <w:name w:val="页脚 Char"/>
    <w:link w:val="4"/>
    <w:qFormat/>
    <w:locked/>
    <w:uiPriority w:val="99"/>
    <w:rPr>
      <w:rFonts w:cs="Times New Roman"/>
      <w:sz w:val="18"/>
      <w:szCs w:val="18"/>
    </w:rPr>
  </w:style>
  <w:style w:type="character" w:customStyle="1" w:styleId="12">
    <w:name w:val="页眉 Char"/>
    <w:link w:val="5"/>
    <w:qFormat/>
    <w:locked/>
    <w:uiPriority w:val="99"/>
    <w:rPr>
      <w:rFonts w:cs="Times New Roman"/>
      <w:sz w:val="18"/>
      <w:szCs w:val="18"/>
    </w:rPr>
  </w:style>
  <w:style w:type="character" w:customStyle="1" w:styleId="13">
    <w:name w:val="Footer Char1"/>
    <w:semiHidden/>
    <w:qFormat/>
    <w:locked/>
    <w:uiPriority w:val="99"/>
    <w:rPr>
      <w:rFonts w:ascii="Calibri" w:hAnsi="Calibri" w:cs="黑体"/>
      <w:sz w:val="18"/>
      <w:szCs w:val="18"/>
    </w:rPr>
  </w:style>
  <w:style w:type="character" w:customStyle="1" w:styleId="14">
    <w:name w:val="Header Char1"/>
    <w:semiHidden/>
    <w:qFormat/>
    <w:locked/>
    <w:uiPriority w:val="99"/>
    <w:rPr>
      <w:rFonts w:ascii="Calibri" w:hAnsi="Calibri" w:cs="黑体"/>
      <w:sz w:val="18"/>
      <w:szCs w:val="18"/>
    </w:rPr>
  </w:style>
  <w:style w:type="character" w:customStyle="1" w:styleId="15">
    <w:name w:val="批注框文本 Char"/>
    <w:link w:val="3"/>
    <w:semiHidden/>
    <w:qFormat/>
    <w:locked/>
    <w:uiPriority w:val="99"/>
    <w:rPr>
      <w:rFonts w:ascii="Calibri" w:hAnsi="Calibri" w:cs="黑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15</Pages>
  <Words>943</Words>
  <Characters>5378</Characters>
  <Lines>44</Lines>
  <Paragraphs>12</Paragraphs>
  <TotalTime>456</TotalTime>
  <ScaleCrop>false</ScaleCrop>
  <LinksUpToDate>false</LinksUpToDate>
  <CharactersWithSpaces>6309</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2018-06-11T23:30:00Z</dcterms:created>
  <dc:creator>lenovo</dc:creator>
  <cp:lastModifiedBy>qhcz</cp:lastModifiedBy>
  <cp:lastPrinted>2023-03-20T16:50:00Z</cp:lastPrinted>
  <dcterms:modified xsi:type="dcterms:W3CDTF">2023-03-21T17:48:03Z</dcterms:modified>
  <dc:title>PC</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