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outlineLvl w:val="9"/>
        <w:rPr>
          <w:rFonts w:ascii="Times New Roman" w:hAnsi="Times New Roman" w:eastAsia="方正小标宋简体"/>
          <w:sz w:val="36"/>
          <w:szCs w:val="36"/>
        </w:rPr>
      </w:pPr>
      <w:r>
        <w:rPr>
          <w:rFonts w:ascii="Times New Roman" w:hAnsi="Times New Roman" w:eastAsia="方正小标宋简体"/>
          <w:sz w:val="36"/>
          <w:szCs w:val="36"/>
        </w:rPr>
        <w:t>关于《</w:t>
      </w:r>
      <w:r>
        <w:rPr>
          <w:rFonts w:hint="eastAsia" w:ascii="方正小标宋简体" w:hAnsi="方正小标宋简体" w:eastAsia="方正小标宋简体" w:cs="方正小标宋简体"/>
          <w:sz w:val="36"/>
          <w:szCs w:val="36"/>
        </w:rPr>
        <w:t>青海省林业改革发展资金管理实施细则</w:t>
      </w:r>
      <w:r>
        <w:rPr>
          <w:rFonts w:ascii="Times New Roman" w:hAnsi="Times New Roman" w:eastAsia="方正小标宋简体"/>
          <w:sz w:val="36"/>
          <w:szCs w:val="36"/>
        </w:rPr>
        <w:t>》</w:t>
      </w: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outlineLvl w:val="9"/>
        <w:rPr>
          <w:rFonts w:hint="eastAsia" w:ascii="Times New Roman" w:hAnsi="Times New Roman" w:eastAsia="方正小标宋简体"/>
          <w:sz w:val="36"/>
          <w:szCs w:val="36"/>
          <w:lang w:eastAsia="zh-CN"/>
        </w:rPr>
      </w:pPr>
      <w:r>
        <w:rPr>
          <w:rFonts w:hint="eastAsia" w:ascii="Times New Roman" w:hAnsi="Times New Roman" w:eastAsia="方正小标宋简体"/>
          <w:sz w:val="36"/>
          <w:szCs w:val="36"/>
          <w:lang w:eastAsia="zh-CN"/>
        </w:rPr>
        <w:t>和《青海省林业草原生态保护恢复资金》</w:t>
      </w: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outlineLvl w:val="9"/>
        <w:rPr>
          <w:rFonts w:hint="eastAsia" w:ascii="Times New Roman" w:hAnsi="Times New Roman" w:eastAsia="方正小标宋简体"/>
          <w:sz w:val="36"/>
          <w:szCs w:val="36"/>
          <w:lang w:eastAsia="zh-CN"/>
        </w:rPr>
      </w:pPr>
      <w:r>
        <w:rPr>
          <w:rFonts w:hint="eastAsia" w:ascii="Times New Roman" w:hAnsi="Times New Roman" w:eastAsia="方正小标宋简体"/>
          <w:sz w:val="36"/>
          <w:szCs w:val="36"/>
        </w:rPr>
        <w:t>的起草</w:t>
      </w:r>
      <w:r>
        <w:rPr>
          <w:rFonts w:ascii="Times New Roman" w:hAnsi="Times New Roman" w:eastAsia="方正小标宋简体"/>
          <w:sz w:val="36"/>
          <w:szCs w:val="36"/>
        </w:rPr>
        <w:t>说明</w:t>
      </w:r>
      <w:r>
        <w:rPr>
          <w:rFonts w:hint="eastAsia" w:ascii="Times New Roman" w:hAnsi="Times New Roman" w:eastAsia="方正小标宋简体"/>
          <w:sz w:val="36"/>
          <w:szCs w:val="36"/>
          <w:lang w:eastAsia="zh-CN"/>
        </w:rPr>
        <w:t>和政策解读</w:t>
      </w:r>
    </w:p>
    <w:p>
      <w:pPr>
        <w:keepNext w:val="0"/>
        <w:keepLines w:val="0"/>
        <w:pageBreakBefore w:val="0"/>
        <w:widowControl w:val="0"/>
        <w:kinsoku/>
        <w:wordWrap/>
        <w:overflowPunct/>
        <w:topLinePunct w:val="0"/>
        <w:autoSpaceDE/>
        <w:autoSpaceDN/>
        <w:bidi w:val="0"/>
        <w:adjustRightInd w:val="0"/>
        <w:snapToGrid w:val="0"/>
        <w:spacing w:line="570" w:lineRule="exact"/>
        <w:jc w:val="both"/>
        <w:textAlignment w:val="auto"/>
        <w:rPr>
          <w:rFonts w:ascii="宋体" w:hAnsi="宋体"/>
          <w:b/>
          <w:sz w:val="44"/>
          <w:szCs w:val="44"/>
        </w:rPr>
      </w:pPr>
      <w:bookmarkStart w:id="0" w:name="_GoBack"/>
      <w:bookmarkEnd w:id="0"/>
    </w:p>
    <w:p>
      <w:pPr>
        <w:pStyle w:val="2"/>
        <w:keepNext w:val="0"/>
        <w:keepLines w:val="0"/>
        <w:pageBreakBefore w:val="0"/>
        <w:widowControl w:val="0"/>
        <w:kinsoku/>
        <w:wordWrap/>
        <w:overflowPunct/>
        <w:topLinePunct w:val="0"/>
        <w:autoSpaceDE/>
        <w:autoSpaceDN/>
        <w:bidi w:val="0"/>
        <w:adjustRightInd w:val="0"/>
        <w:snapToGrid w:val="0"/>
        <w:spacing w:after="0" w:line="57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一、起草背景及过程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2021年6月和7月，财政部、国家林业和草原管理局</w:t>
      </w:r>
      <w:r>
        <w:rPr>
          <w:rFonts w:ascii="Times New Roman" w:hAnsi="Times New Roman" w:eastAsia="仿宋_GB2312"/>
          <w:sz w:val="32"/>
          <w:szCs w:val="32"/>
        </w:rPr>
        <w:t>联合</w:t>
      </w:r>
      <w:r>
        <w:rPr>
          <w:rFonts w:hint="eastAsia" w:ascii="Times New Roman" w:hAnsi="Times New Roman" w:eastAsia="仿宋_GB2312"/>
          <w:sz w:val="32"/>
          <w:szCs w:val="32"/>
          <w:lang w:eastAsia="zh-CN"/>
        </w:rPr>
        <w:t>印发</w:t>
      </w:r>
      <w:r>
        <w:rPr>
          <w:rFonts w:ascii="Times New Roman" w:hAnsi="Times New Roman" w:eastAsia="仿宋_GB2312"/>
          <w:sz w:val="32"/>
          <w:szCs w:val="32"/>
        </w:rPr>
        <w:t>了</w:t>
      </w:r>
      <w:r>
        <w:rPr>
          <w:rFonts w:hint="eastAsia" w:ascii="Times New Roman" w:hAnsi="Times New Roman" w:eastAsia="仿宋_GB2312"/>
          <w:sz w:val="32"/>
          <w:szCs w:val="32"/>
          <w:lang w:eastAsia="zh-CN"/>
        </w:rPr>
        <w:t>《林业改革发展资金管理办法》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财资环</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和</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lang w:eastAsia="zh-CN"/>
        </w:rPr>
        <w:t>林业草原生态保护恢复资金管理办法</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财资环</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val="en-US" w:eastAsia="zh-CN"/>
        </w:rPr>
        <w:t>76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，根据</w:t>
      </w:r>
      <w:r>
        <w:rPr>
          <w:rFonts w:hint="eastAsia" w:ascii="Times New Roman" w:hAnsi="Times New Roman" w:eastAsia="仿宋_GB2312"/>
          <w:sz w:val="32"/>
          <w:szCs w:val="32"/>
          <w:lang w:eastAsia="zh-CN"/>
        </w:rPr>
        <w:t>财政部、国家林业和草原局的要求，我</w:t>
      </w:r>
      <w:r>
        <w:rPr>
          <w:rFonts w:hint="eastAsia" w:ascii="Times New Roman" w:hAnsi="Times New Roman" w:eastAsia="仿宋_GB2312"/>
          <w:color w:val="auto"/>
          <w:sz w:val="32"/>
          <w:szCs w:val="32"/>
          <w:lang w:eastAsia="zh-CN"/>
        </w:rPr>
        <w:t>省需制定</w:t>
      </w:r>
      <w:r>
        <w:rPr>
          <w:rFonts w:hint="eastAsia" w:ascii="Times New Roman" w:hAnsi="Times New Roman" w:eastAsia="仿宋_GB2312"/>
          <w:sz w:val="32"/>
          <w:szCs w:val="32"/>
        </w:rPr>
        <w:t>林业改革发展资金</w:t>
      </w:r>
      <w:r>
        <w:rPr>
          <w:rFonts w:hint="eastAsia" w:ascii="Times New Roman" w:hAnsi="Times New Roman" w:eastAsia="仿宋_GB2312"/>
          <w:sz w:val="32"/>
          <w:szCs w:val="32"/>
          <w:lang w:eastAsia="zh-CN"/>
        </w:rPr>
        <w:t>和</w:t>
      </w:r>
      <w:r>
        <w:rPr>
          <w:rFonts w:hint="eastAsia" w:ascii="Times New Roman" w:hAnsi="Times New Roman" w:eastAsia="仿宋_GB2312"/>
          <w:sz w:val="32"/>
          <w:szCs w:val="32"/>
        </w:rPr>
        <w:t>林业</w:t>
      </w:r>
      <w:r>
        <w:rPr>
          <w:rFonts w:hint="eastAsia" w:ascii="Times New Roman" w:hAnsi="Times New Roman" w:eastAsia="仿宋_GB2312"/>
          <w:sz w:val="32"/>
          <w:szCs w:val="32"/>
          <w:lang w:eastAsia="zh-CN"/>
        </w:rPr>
        <w:t>草原生态保护恢复</w:t>
      </w:r>
      <w:r>
        <w:rPr>
          <w:rFonts w:hint="eastAsia" w:ascii="Times New Roman" w:hAnsi="Times New Roman" w:eastAsia="仿宋_GB2312"/>
          <w:sz w:val="32"/>
          <w:szCs w:val="32"/>
        </w:rPr>
        <w:t>资金</w:t>
      </w:r>
      <w:r>
        <w:rPr>
          <w:rFonts w:hint="eastAsia" w:ascii="仿宋_GB2312" w:hAnsi="仿宋_GB2312" w:eastAsia="仿宋_GB2312" w:cs="仿宋_GB2312"/>
          <w:sz w:val="32"/>
          <w:szCs w:val="32"/>
          <w:lang w:eastAsia="zh-CN"/>
        </w:rPr>
        <w:t>实施细则。经省财政、省林业和草原局多次讨论研究，拟定了《青海省林业改革发展资金管理实施细则（征求意见稿）》和《青海省林业草原生态保护恢复资金（征求意见稿）》（以下简称“两个实施细则”）</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先后征求了</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轮意见建议：</w:t>
      </w:r>
      <w:r>
        <w:rPr>
          <w:rFonts w:hint="eastAsia" w:ascii="仿宋_GB2312" w:hAnsi="仿宋_GB2312" w:eastAsia="仿宋_GB2312" w:cs="仿宋_GB2312"/>
          <w:sz w:val="32"/>
          <w:szCs w:val="32"/>
          <w:u w:val="none"/>
        </w:rPr>
        <w:t>第一轮于</w:t>
      </w:r>
      <w:r>
        <w:rPr>
          <w:rFonts w:hint="eastAsia" w:ascii="仿宋_GB2312" w:hAnsi="仿宋_GB2312" w:eastAsia="仿宋_GB2312" w:cs="仿宋_GB2312"/>
          <w:sz w:val="32"/>
          <w:szCs w:val="32"/>
          <w:u w:val="none"/>
          <w:lang w:val="en-US" w:eastAsia="zh-CN"/>
        </w:rPr>
        <w:t>2021年10月</w:t>
      </w:r>
      <w:r>
        <w:rPr>
          <w:rFonts w:hint="eastAsia" w:ascii="仿宋_GB2312" w:hAnsi="仿宋_GB2312" w:eastAsia="仿宋_GB2312" w:cs="仿宋_GB2312"/>
          <w:sz w:val="32"/>
          <w:szCs w:val="32"/>
          <w:u w:val="none"/>
        </w:rPr>
        <w:t>征求了</w:t>
      </w:r>
      <w:r>
        <w:rPr>
          <w:rFonts w:hint="eastAsia" w:ascii="仿宋_GB2312" w:hAnsi="仿宋_GB2312" w:eastAsia="仿宋_GB2312" w:cs="仿宋_GB2312"/>
          <w:sz w:val="32"/>
          <w:szCs w:val="32"/>
          <w:u w:val="none"/>
          <w:lang w:eastAsia="zh-CN"/>
        </w:rPr>
        <w:t>厅机关各处室</w:t>
      </w:r>
      <w:r>
        <w:rPr>
          <w:rFonts w:hint="eastAsia" w:ascii="仿宋_GB2312" w:hAnsi="仿宋_GB2312" w:eastAsia="仿宋_GB2312" w:cs="仿宋_GB2312"/>
          <w:sz w:val="32"/>
          <w:szCs w:val="32"/>
          <w:u w:val="none"/>
        </w:rPr>
        <w:t>意见建议</w:t>
      </w:r>
      <w:r>
        <w:rPr>
          <w:rFonts w:hint="eastAsia" w:ascii="仿宋_GB2312" w:hAnsi="仿宋_GB2312" w:eastAsia="仿宋_GB2312" w:cs="仿宋_GB2312"/>
          <w:sz w:val="32"/>
          <w:szCs w:val="32"/>
          <w:u w:val="none"/>
          <w:lang w:eastAsia="zh-CN"/>
        </w:rPr>
        <w:t>，共收到建议</w:t>
      </w:r>
      <w:r>
        <w:rPr>
          <w:rFonts w:hint="eastAsia" w:ascii="仿宋_GB2312" w:hAnsi="仿宋_GB2312" w:eastAsia="仿宋_GB2312" w:cs="仿宋_GB2312"/>
          <w:sz w:val="32"/>
          <w:szCs w:val="32"/>
          <w:u w:val="none"/>
          <w:lang w:val="en-US" w:eastAsia="zh-CN"/>
        </w:rPr>
        <w:t>11条，采纳8条,未采纳3条；</w:t>
      </w:r>
      <w:r>
        <w:rPr>
          <w:rFonts w:hint="eastAsia" w:ascii="仿宋_GB2312" w:hAnsi="仿宋_GB2312" w:eastAsia="仿宋_GB2312" w:cs="仿宋_GB2312"/>
          <w:sz w:val="32"/>
          <w:szCs w:val="32"/>
          <w:u w:val="none"/>
        </w:rPr>
        <w:t>第二轮于</w:t>
      </w:r>
      <w:r>
        <w:rPr>
          <w:rFonts w:hint="eastAsia" w:ascii="仿宋_GB2312" w:hAnsi="仿宋_GB2312" w:eastAsia="仿宋_GB2312" w:cs="仿宋_GB2312"/>
          <w:sz w:val="32"/>
          <w:szCs w:val="32"/>
          <w:u w:val="none"/>
          <w:lang w:val="en-US" w:eastAsia="zh-CN"/>
        </w:rPr>
        <w:t>2021年11</w:t>
      </w:r>
      <w:r>
        <w:rPr>
          <w:rFonts w:hint="eastAsia" w:ascii="仿宋_GB2312" w:hAnsi="仿宋_GB2312" w:eastAsia="仿宋_GB2312" w:cs="仿宋_GB2312"/>
          <w:sz w:val="32"/>
          <w:szCs w:val="32"/>
          <w:u w:val="none"/>
        </w:rPr>
        <w:t>月征求了</w:t>
      </w:r>
      <w:r>
        <w:rPr>
          <w:rFonts w:hint="eastAsia" w:ascii="仿宋_GB2312" w:hAnsi="仿宋_GB2312" w:eastAsia="仿宋_GB2312" w:cs="仿宋_GB2312"/>
          <w:sz w:val="32"/>
          <w:szCs w:val="32"/>
          <w:u w:val="none"/>
          <w:lang w:eastAsia="zh-CN"/>
        </w:rPr>
        <w:t>各市州财政局、林业和草原局的</w:t>
      </w:r>
      <w:r>
        <w:rPr>
          <w:rFonts w:hint="eastAsia" w:ascii="仿宋_GB2312" w:hAnsi="仿宋_GB2312" w:eastAsia="仿宋_GB2312" w:cs="仿宋_GB2312"/>
          <w:sz w:val="32"/>
          <w:szCs w:val="32"/>
          <w:u w:val="none"/>
        </w:rPr>
        <w:t>意见建议</w:t>
      </w:r>
      <w:r>
        <w:rPr>
          <w:rFonts w:hint="eastAsia" w:ascii="仿宋_GB2312" w:hAnsi="仿宋_GB2312" w:eastAsia="仿宋_GB2312" w:cs="仿宋_GB2312"/>
          <w:sz w:val="32"/>
          <w:szCs w:val="32"/>
          <w:u w:val="none"/>
          <w:lang w:eastAsia="zh-CN"/>
        </w:rPr>
        <w:t>，各地相关部门均无意见建议；</w:t>
      </w:r>
      <w:r>
        <w:rPr>
          <w:rFonts w:hint="eastAsia" w:ascii="仿宋_GB2312" w:hAnsi="仿宋_GB2312" w:eastAsia="仿宋_GB2312" w:cs="仿宋_GB2312"/>
          <w:sz w:val="32"/>
          <w:szCs w:val="32"/>
          <w:u w:val="none"/>
          <w:lang w:val="en-US" w:eastAsia="zh-CN"/>
        </w:rPr>
        <w:t>12月上旬根据征求到的意见建议，省财政厅会同省林草局对</w:t>
      </w:r>
      <w:r>
        <w:rPr>
          <w:rFonts w:hint="eastAsia" w:ascii="仿宋_GB2312" w:hAnsi="仿宋_GB2312" w:eastAsia="仿宋_GB2312" w:cs="仿宋_GB2312"/>
          <w:sz w:val="32"/>
          <w:szCs w:val="32"/>
          <w:lang w:eastAsia="zh-CN"/>
        </w:rPr>
        <w:t>“两个实施细则”</w:t>
      </w:r>
      <w:r>
        <w:rPr>
          <w:rFonts w:hint="eastAsia" w:ascii="仿宋_GB2312" w:hAnsi="仿宋_GB2312" w:eastAsia="仿宋_GB2312" w:cs="仿宋_GB2312"/>
          <w:sz w:val="32"/>
          <w:szCs w:val="32"/>
          <w:u w:val="none"/>
          <w:lang w:val="en-US" w:eastAsia="zh-CN"/>
        </w:rPr>
        <w:t>进行了修改完善</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并由省财政厅法规税政处进行了合法性审核</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二、基本框架及主要内容</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《青海省林业改革发展资金管理实施细则》</w:t>
      </w:r>
      <w:r>
        <w:rPr>
          <w:rFonts w:hint="eastAsia" w:ascii="楷体_GB2312" w:hAnsi="楷体_GB2312" w:eastAsia="楷体_GB2312" w:cs="楷体_GB2312"/>
          <w:sz w:val="32"/>
          <w:szCs w:val="32"/>
          <w:lang w:eastAsia="zh-CN"/>
        </w:rPr>
        <w:t>。</w:t>
      </w:r>
      <w:r>
        <w:rPr>
          <w:rFonts w:ascii="Times New Roman" w:hAnsi="Times New Roman" w:eastAsia="仿宋_GB2312"/>
          <w:sz w:val="32"/>
          <w:szCs w:val="32"/>
        </w:rPr>
        <w:t>主要分为</w:t>
      </w:r>
      <w:r>
        <w:rPr>
          <w:rFonts w:hint="eastAsia" w:ascii="Times New Roman" w:hAnsi="Times New Roman" w:eastAsia="仿宋_GB2312"/>
          <w:sz w:val="32"/>
          <w:szCs w:val="32"/>
          <w:lang w:eastAsia="zh-CN"/>
        </w:rPr>
        <w:t>七</w:t>
      </w:r>
      <w:r>
        <w:rPr>
          <w:rFonts w:ascii="Times New Roman" w:hAnsi="Times New Roman" w:eastAsia="仿宋_GB2312"/>
          <w:sz w:val="32"/>
          <w:szCs w:val="32"/>
        </w:rPr>
        <w:t>个部分</w:t>
      </w:r>
      <w:r>
        <w:rPr>
          <w:rFonts w:hint="eastAsia" w:ascii="Times New Roman" w:hAnsi="Times New Roman" w:eastAsia="仿宋_GB2312"/>
          <w:sz w:val="32"/>
          <w:szCs w:val="32"/>
          <w:lang w:eastAsia="zh-CN"/>
        </w:rPr>
        <w:t>，三十四条内容</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第一部分，</w:t>
      </w:r>
      <w:r>
        <w:rPr>
          <w:rFonts w:hint="eastAsia" w:ascii="仿宋_GB2312" w:hAnsi="仿宋_GB2312" w:eastAsia="仿宋_GB2312" w:cs="仿宋_GB2312"/>
          <w:b w:val="0"/>
          <w:bCs w:val="0"/>
          <w:sz w:val="32"/>
          <w:szCs w:val="32"/>
          <w:lang w:eastAsia="zh-CN"/>
        </w:rPr>
        <w:t>总则</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有三条内容，主要为制定依据、制定范围、管理主体、管理职责</w:t>
      </w:r>
      <w:r>
        <w:rPr>
          <w:rFonts w:hint="eastAsia" w:ascii="仿宋_GB2312" w:hAnsi="仿宋_GB2312" w:eastAsia="仿宋_GB2312" w:cs="仿宋_GB2312"/>
          <w:b w:val="0"/>
          <w:bCs w:val="0"/>
          <w:sz w:val="32"/>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default"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rPr>
        <w:t>第二部分，</w:t>
      </w:r>
      <w:r>
        <w:rPr>
          <w:rFonts w:hint="eastAsia" w:ascii="仿宋_GB2312" w:hAnsi="仿宋_GB2312" w:eastAsia="仿宋_GB2312" w:cs="仿宋_GB2312"/>
          <w:b w:val="0"/>
          <w:bCs w:val="0"/>
          <w:sz w:val="32"/>
          <w:szCs w:val="32"/>
          <w:lang w:eastAsia="zh-CN"/>
        </w:rPr>
        <w:t>资金使用范围</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有九</w:t>
      </w:r>
      <w:r>
        <w:rPr>
          <w:rFonts w:hint="eastAsia" w:ascii="仿宋_GB2312" w:hAnsi="仿宋_GB2312" w:eastAsia="仿宋_GB2312" w:cs="仿宋_GB2312"/>
          <w:b w:val="0"/>
          <w:bCs w:val="0"/>
          <w:sz w:val="32"/>
          <w:szCs w:val="32"/>
          <w:lang w:val="en-US" w:eastAsia="zh-CN"/>
        </w:rPr>
        <w:t>条内容，主要为林业改革发展资金主要用于</w:t>
      </w:r>
      <w:r>
        <w:rPr>
          <w:rFonts w:hint="eastAsia" w:ascii="仿宋_GB2312" w:hAnsi="仿宋_GB2312" w:eastAsia="仿宋_GB2312" w:cs="仿宋_GB2312"/>
          <w:b w:val="0"/>
          <w:bCs w:val="0"/>
          <w:sz w:val="32"/>
          <w:szCs w:val="32"/>
        </w:rPr>
        <w:t>森林资源管护</w:t>
      </w:r>
      <w:r>
        <w:rPr>
          <w:rFonts w:hint="eastAsia" w:ascii="仿宋_GB2312" w:hAnsi="仿宋_GB2312" w:eastAsia="仿宋_GB2312" w:cs="仿宋_GB2312"/>
          <w:b w:val="0"/>
          <w:bCs w:val="0"/>
          <w:sz w:val="32"/>
          <w:szCs w:val="32"/>
          <w:lang w:eastAsia="zh-CN"/>
        </w:rPr>
        <w:t>、国土绿化、自然保护区、自然公园、湿地、森林防火、有害生物防治、国家重点野生动植物保护、林业和草原科技推广示范、林业草原优势特色产业、草原资源保护修复及监管等方面支出，资金支出方向、支出相关要求等规定。</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第三部分，</w:t>
      </w:r>
      <w:r>
        <w:rPr>
          <w:rFonts w:hint="eastAsia" w:ascii="仿宋_GB2312" w:hAnsi="仿宋_GB2312" w:eastAsia="仿宋_GB2312" w:cs="仿宋_GB2312"/>
          <w:b w:val="0"/>
          <w:bCs w:val="0"/>
          <w:sz w:val="32"/>
          <w:szCs w:val="32"/>
          <w:lang w:eastAsia="zh-CN"/>
        </w:rPr>
        <w:t>资金分配</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有三条内容，主要为林业改革发展资金采取因素法和项目法相结合的办法分配，林业改革发展资金用于支持脱贫地区开展财政涉农资金试点相关要求。</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第四部分，预算下达。有两条内容，主要为预算资金的下达、下一年度任务申报。</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第五部分，预算绩效管理。有九</w:t>
      </w:r>
      <w:r>
        <w:rPr>
          <w:rFonts w:hint="eastAsia" w:ascii="仿宋_GB2312" w:hAnsi="仿宋_GB2312" w:eastAsia="仿宋_GB2312" w:cs="仿宋_GB2312"/>
          <w:b w:val="0"/>
          <w:bCs w:val="0"/>
          <w:sz w:val="32"/>
          <w:szCs w:val="32"/>
          <w:lang w:val="en-US" w:eastAsia="zh-CN"/>
        </w:rPr>
        <w:t>条内容，主要为林业改革发展资金绩效目标内容、指标体系、上一年度资金使用情况上报、编制区域绩效目标、绩效监控、绩效自评、绩效评价结果运用等。</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第六部分，预算执行和监督。有六</w:t>
      </w:r>
      <w:r>
        <w:rPr>
          <w:rFonts w:hint="eastAsia" w:ascii="仿宋_GB2312" w:hAnsi="仿宋_GB2312" w:eastAsia="仿宋_GB2312" w:cs="仿宋_GB2312"/>
          <w:b w:val="0"/>
          <w:bCs w:val="0"/>
          <w:sz w:val="32"/>
          <w:szCs w:val="32"/>
          <w:lang w:val="en-US" w:eastAsia="zh-CN"/>
        </w:rPr>
        <w:t>条内容，主要为预算执行、预算信息公开、预算执行监督检查和责任追究。</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第七部分，附则。有两条内容，主要为实施细则相关解释、实施期限。</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sz w:val="32"/>
          <w:szCs w:val="32"/>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青海省林业草原生态保护恢复资金</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w:t>
      </w:r>
      <w:r>
        <w:rPr>
          <w:rFonts w:ascii="Times New Roman" w:hAnsi="Times New Roman" w:eastAsia="仿宋_GB2312"/>
          <w:sz w:val="32"/>
          <w:szCs w:val="32"/>
        </w:rPr>
        <w:t>主要分为</w:t>
      </w:r>
      <w:r>
        <w:rPr>
          <w:rFonts w:hint="eastAsia" w:ascii="Times New Roman" w:hAnsi="Times New Roman" w:eastAsia="仿宋_GB2312"/>
          <w:sz w:val="32"/>
          <w:szCs w:val="32"/>
          <w:lang w:eastAsia="zh-CN"/>
        </w:rPr>
        <w:t>七</w:t>
      </w:r>
      <w:r>
        <w:rPr>
          <w:rFonts w:ascii="Times New Roman" w:hAnsi="Times New Roman" w:eastAsia="仿宋_GB2312"/>
          <w:sz w:val="32"/>
          <w:szCs w:val="32"/>
        </w:rPr>
        <w:t>个部分</w:t>
      </w:r>
      <w:r>
        <w:rPr>
          <w:rFonts w:hint="eastAsia" w:ascii="Times New Roman" w:hAnsi="Times New Roman" w:eastAsia="仿宋_GB2312"/>
          <w:sz w:val="32"/>
          <w:szCs w:val="32"/>
          <w:lang w:eastAsia="zh-CN"/>
        </w:rPr>
        <w:t>，二十八条内容</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第一部分，</w:t>
      </w:r>
      <w:r>
        <w:rPr>
          <w:rFonts w:hint="eastAsia" w:ascii="仿宋_GB2312" w:hAnsi="仿宋_GB2312" w:eastAsia="仿宋_GB2312" w:cs="仿宋_GB2312"/>
          <w:b w:val="0"/>
          <w:bCs w:val="0"/>
          <w:sz w:val="32"/>
          <w:szCs w:val="32"/>
          <w:lang w:eastAsia="zh-CN"/>
        </w:rPr>
        <w:t>总则</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有三条内容，主要为制定依据、制定范围、管理主体、管理职责</w:t>
      </w:r>
      <w:r>
        <w:rPr>
          <w:rFonts w:hint="eastAsia" w:ascii="仿宋_GB2312" w:hAnsi="仿宋_GB2312" w:eastAsia="仿宋_GB2312" w:cs="仿宋_GB2312"/>
          <w:b w:val="0"/>
          <w:bCs w:val="0"/>
          <w:sz w:val="32"/>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default"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rPr>
        <w:t>第二部分，</w:t>
      </w:r>
      <w:r>
        <w:rPr>
          <w:rFonts w:hint="eastAsia" w:ascii="仿宋_GB2312" w:hAnsi="仿宋_GB2312" w:eastAsia="仿宋_GB2312" w:cs="仿宋_GB2312"/>
          <w:b w:val="0"/>
          <w:bCs w:val="0"/>
          <w:sz w:val="32"/>
          <w:szCs w:val="32"/>
          <w:lang w:eastAsia="zh-CN"/>
        </w:rPr>
        <w:t>资金使用范围</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有三</w:t>
      </w:r>
      <w:r>
        <w:rPr>
          <w:rFonts w:hint="eastAsia" w:ascii="仿宋_GB2312" w:hAnsi="仿宋_GB2312" w:eastAsia="仿宋_GB2312" w:cs="仿宋_GB2312"/>
          <w:b w:val="0"/>
          <w:bCs w:val="0"/>
          <w:sz w:val="32"/>
          <w:szCs w:val="32"/>
          <w:lang w:val="en-US" w:eastAsia="zh-CN"/>
        </w:rPr>
        <w:t>条内容，主要为林业草原生态保护恢复资金主要用于</w:t>
      </w:r>
      <w:r>
        <w:rPr>
          <w:rFonts w:hint="eastAsia" w:ascii="仿宋_GB2312" w:hAnsi="仿宋_GB2312" w:eastAsia="仿宋_GB2312" w:cs="仿宋_GB2312"/>
          <w:sz w:val="32"/>
          <w:szCs w:val="32"/>
        </w:rPr>
        <w:t>天然林保护政策性社会性支出、全面停止天然林商业性采伐、草原生态修复治理</w:t>
      </w:r>
      <w:r>
        <w:rPr>
          <w:rFonts w:hint="eastAsia" w:ascii="仿宋_GB2312" w:hAnsi="仿宋_GB2312" w:eastAsia="仿宋_GB2312" w:cs="仿宋_GB2312"/>
          <w:sz w:val="32"/>
          <w:szCs w:val="32"/>
          <w:lang w:eastAsia="zh-CN"/>
        </w:rPr>
        <w:t>、生态护林员、国家公园</w:t>
      </w:r>
      <w:r>
        <w:rPr>
          <w:rFonts w:hint="eastAsia" w:ascii="仿宋_GB2312" w:hAnsi="仿宋_GB2312" w:eastAsia="仿宋_GB2312" w:cs="仿宋_GB2312"/>
          <w:sz w:val="32"/>
          <w:szCs w:val="32"/>
        </w:rPr>
        <w:t>等林业草原生态保护恢复方面的</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第三部分，</w:t>
      </w:r>
      <w:r>
        <w:rPr>
          <w:rFonts w:hint="eastAsia" w:ascii="仿宋_GB2312" w:hAnsi="仿宋_GB2312" w:eastAsia="仿宋_GB2312" w:cs="仿宋_GB2312"/>
          <w:b w:val="0"/>
          <w:bCs w:val="0"/>
          <w:sz w:val="32"/>
          <w:szCs w:val="32"/>
          <w:lang w:eastAsia="zh-CN"/>
        </w:rPr>
        <w:t>资金分配</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有四条内容，主要为林业草原生态保护恢复资金采取因素法分配和项目法相结合的办法分配，林业草原生态保护恢复资金用于支持脱贫地区开展财政涉农资金试点相关要求。</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第四部分，预算下达。有两条内容，主要为预算资金的下达、下一年度任务申报。</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第五部分，预算绩效管理。有九</w:t>
      </w:r>
      <w:r>
        <w:rPr>
          <w:rFonts w:hint="eastAsia" w:ascii="仿宋_GB2312" w:hAnsi="仿宋_GB2312" w:eastAsia="仿宋_GB2312" w:cs="仿宋_GB2312"/>
          <w:b w:val="0"/>
          <w:bCs w:val="0"/>
          <w:sz w:val="32"/>
          <w:szCs w:val="32"/>
          <w:lang w:val="en-US" w:eastAsia="zh-CN"/>
        </w:rPr>
        <w:t>条内容，主要为绩效目标内容、指标体系、上一年度资金使用情况上报、编制区域绩效目标、绩效监控、绩效自评、绩效评价结果运用。</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第六部分，预算执行和监督。有五</w:t>
      </w:r>
      <w:r>
        <w:rPr>
          <w:rFonts w:hint="eastAsia" w:ascii="仿宋_GB2312" w:hAnsi="仿宋_GB2312" w:eastAsia="仿宋_GB2312" w:cs="仿宋_GB2312"/>
          <w:b w:val="0"/>
          <w:bCs w:val="0"/>
          <w:sz w:val="32"/>
          <w:szCs w:val="32"/>
          <w:lang w:val="en-US" w:eastAsia="zh-CN"/>
        </w:rPr>
        <w:t>条内容，主要为预算执行、预算信息公开、预算执行监督检查和责任追究。</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第七部分，附则。有两条内容，主要为实施细则相关解释、实施期限。</w:t>
      </w:r>
    </w:p>
    <w:p>
      <w:pPr>
        <w:pStyle w:val="2"/>
        <w:keepNext w:val="0"/>
        <w:keepLines w:val="0"/>
        <w:pageBreakBefore w:val="0"/>
        <w:widowControl w:val="0"/>
        <w:kinsoku/>
        <w:wordWrap/>
        <w:overflowPunct/>
        <w:topLinePunct w:val="0"/>
        <w:autoSpaceDE/>
        <w:autoSpaceDN/>
        <w:bidi w:val="0"/>
        <w:adjustRightInd w:val="0"/>
        <w:snapToGrid w:val="0"/>
        <w:spacing w:line="57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三、政策解读</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2" w:firstLineChars="200"/>
        <w:textAlignment w:val="auto"/>
        <w:outlineLvl w:val="9"/>
        <w:rPr>
          <w:rFonts w:hint="eastAsia" w:ascii="仿宋_GB2312" w:hAnsi="仿宋_GB2312" w:eastAsia="仿宋_GB2312" w:cs="仿宋_GB2312"/>
          <w:kern w:val="2"/>
          <w:sz w:val="32"/>
          <w:szCs w:val="32"/>
          <w:lang w:val="en-US" w:eastAsia="zh-CN" w:bidi="ar"/>
        </w:rPr>
      </w:pPr>
      <w:r>
        <w:rPr>
          <w:rFonts w:hint="eastAsia" w:ascii="Times New Roman" w:hAnsi="Times New Roman" w:eastAsia="仿宋_GB2312" w:cs="Times New Roman"/>
          <w:b/>
          <w:bCs/>
          <w:i w:val="0"/>
          <w:iCs w:val="0"/>
          <w:color w:val="auto"/>
          <w:sz w:val="32"/>
          <w:szCs w:val="32"/>
          <w:highlight w:val="none"/>
          <w:u w:val="none" w:color="auto"/>
          <w:lang w:val="en-US" w:eastAsia="zh-CN"/>
        </w:rPr>
        <w:t>一是</w:t>
      </w:r>
      <w:r>
        <w:rPr>
          <w:rFonts w:hint="eastAsia" w:ascii="Times New Roman" w:hAnsi="Times New Roman" w:eastAsia="仿宋_GB2312" w:cs="Times New Roman"/>
          <w:b w:val="0"/>
          <w:bCs w:val="0"/>
          <w:i w:val="0"/>
          <w:iCs w:val="0"/>
          <w:color w:val="auto"/>
          <w:sz w:val="32"/>
          <w:szCs w:val="32"/>
          <w:highlight w:val="none"/>
          <w:u w:val="none" w:color="auto"/>
          <w:lang w:val="en-US" w:eastAsia="zh-CN"/>
        </w:rPr>
        <w:t>以规范管理为目标。</w:t>
      </w:r>
      <w:r>
        <w:rPr>
          <w:rFonts w:hint="default" w:ascii="Times New Roman" w:hAnsi="Times New Roman" w:eastAsia="仿宋_GB2312" w:cs="Times New Roman"/>
          <w:b w:val="0"/>
          <w:bCs w:val="0"/>
          <w:i w:val="0"/>
          <w:iCs w:val="0"/>
          <w:color w:val="auto"/>
          <w:sz w:val="32"/>
          <w:szCs w:val="32"/>
          <w:highlight w:val="none"/>
          <w:u w:val="none" w:color="auto"/>
          <w:lang w:val="en-US" w:eastAsia="zh-CN"/>
        </w:rPr>
        <w:t>各级财政、林草部门要</w:t>
      </w:r>
      <w:r>
        <w:rPr>
          <w:rFonts w:hint="default" w:ascii="Times New Roman" w:hAnsi="Times New Roman" w:eastAsia="仿宋_GB2312" w:cs="Times New Roman"/>
          <w:b w:val="0"/>
          <w:bCs w:val="0"/>
          <w:i w:val="0"/>
          <w:iCs w:val="0"/>
          <w:color w:val="auto"/>
          <w:sz w:val="32"/>
          <w:szCs w:val="32"/>
          <w:highlight w:val="none"/>
          <w:u w:val="none" w:color="auto"/>
        </w:rPr>
        <w:t>按照从严从紧的原</w:t>
      </w:r>
      <w:r>
        <w:rPr>
          <w:rFonts w:hint="default" w:ascii="Times New Roman" w:hAnsi="Times New Roman" w:eastAsia="仿宋_GB2312" w:cs="Times New Roman"/>
          <w:i w:val="0"/>
          <w:iCs w:val="0"/>
          <w:color w:val="auto"/>
          <w:sz w:val="32"/>
          <w:szCs w:val="32"/>
          <w:highlight w:val="none"/>
          <w:u w:val="none" w:color="auto"/>
        </w:rPr>
        <w:t>则，</w:t>
      </w:r>
      <w:r>
        <w:rPr>
          <w:rFonts w:hint="eastAsia" w:ascii="Times New Roman" w:hAnsi="Times New Roman" w:eastAsia="仿宋_GB2312" w:cs="Times New Roman"/>
          <w:i w:val="0"/>
          <w:iCs w:val="0"/>
          <w:color w:val="auto"/>
          <w:sz w:val="32"/>
          <w:szCs w:val="32"/>
          <w:highlight w:val="none"/>
          <w:u w:val="none" w:color="auto"/>
          <w:lang w:eastAsia="zh-CN"/>
        </w:rPr>
        <w:t>严格规范使用</w:t>
      </w:r>
      <w:r>
        <w:rPr>
          <w:rFonts w:hint="default" w:ascii="Times New Roman" w:hAnsi="Times New Roman" w:eastAsia="仿宋_GB2312" w:cs="Times New Roman"/>
          <w:i w:val="0"/>
          <w:iCs w:val="0"/>
          <w:color w:val="auto"/>
          <w:sz w:val="32"/>
          <w:szCs w:val="32"/>
          <w:highlight w:val="none"/>
          <w:u w:val="none" w:color="auto"/>
          <w:lang w:eastAsia="zh-CN"/>
        </w:rPr>
        <w:t>资金。</w:t>
      </w:r>
      <w:r>
        <w:rPr>
          <w:rFonts w:hint="default" w:ascii="Times New Roman" w:hAnsi="Times New Roman" w:eastAsia="仿宋_GB2312" w:cs="Times New Roman"/>
          <w:i w:val="0"/>
          <w:iCs w:val="0"/>
          <w:color w:val="auto"/>
          <w:sz w:val="32"/>
          <w:szCs w:val="32"/>
          <w:highlight w:val="none"/>
          <w:u w:val="none" w:color="auto"/>
          <w:lang w:val="en-US" w:eastAsia="zh-CN"/>
        </w:rPr>
        <w:t>资金</w:t>
      </w:r>
      <w:r>
        <w:rPr>
          <w:rFonts w:hint="default" w:ascii="Times New Roman" w:hAnsi="Times New Roman" w:eastAsia="仿宋_GB2312" w:cs="Times New Roman"/>
          <w:i w:val="0"/>
          <w:iCs w:val="0"/>
          <w:color w:val="auto"/>
          <w:sz w:val="32"/>
          <w:szCs w:val="32"/>
          <w:highlight w:val="none"/>
          <w:u w:val="none" w:color="auto"/>
        </w:rPr>
        <w:t>不得用于</w:t>
      </w:r>
      <w:r>
        <w:rPr>
          <w:rFonts w:hint="default" w:ascii="Times New Roman" w:hAnsi="Times New Roman" w:eastAsia="仿宋_GB2312" w:cs="Times New Roman"/>
          <w:i w:val="0"/>
          <w:iCs w:val="0"/>
          <w:color w:val="auto"/>
          <w:sz w:val="32"/>
          <w:szCs w:val="32"/>
          <w:highlight w:val="none"/>
          <w:u w:val="none" w:color="auto"/>
          <w:lang w:val="en-US" w:eastAsia="zh-CN"/>
        </w:rPr>
        <w:t>弥补</w:t>
      </w:r>
      <w:r>
        <w:rPr>
          <w:rFonts w:hint="default" w:ascii="Times New Roman" w:hAnsi="Times New Roman" w:eastAsia="仿宋_GB2312" w:cs="Times New Roman"/>
          <w:i w:val="0"/>
          <w:iCs w:val="0"/>
          <w:color w:val="auto"/>
          <w:sz w:val="32"/>
          <w:szCs w:val="32"/>
          <w:highlight w:val="none"/>
          <w:u w:val="none" w:color="auto"/>
        </w:rPr>
        <w:t>单位人员和运转经费</w:t>
      </w:r>
      <w:r>
        <w:rPr>
          <w:rFonts w:hint="default" w:ascii="Times New Roman" w:hAnsi="Times New Roman" w:eastAsia="仿宋_GB2312" w:cs="Times New Roman"/>
          <w:i w:val="0"/>
          <w:iCs w:val="0"/>
          <w:color w:val="auto"/>
          <w:sz w:val="32"/>
          <w:szCs w:val="32"/>
          <w:highlight w:val="none"/>
          <w:u w:val="none" w:color="auto"/>
          <w:lang w:eastAsia="zh-CN"/>
        </w:rPr>
        <w:t>，</w:t>
      </w:r>
      <w:r>
        <w:rPr>
          <w:rFonts w:hint="default" w:ascii="Times New Roman" w:hAnsi="Times New Roman" w:eastAsia="仿宋_GB2312" w:cs="Times New Roman"/>
          <w:i w:val="0"/>
          <w:iCs w:val="0"/>
          <w:color w:val="auto"/>
          <w:sz w:val="32"/>
          <w:szCs w:val="32"/>
          <w:highlight w:val="none"/>
          <w:u w:val="none" w:color="auto"/>
          <w:lang w:val="en-US" w:eastAsia="zh-CN"/>
        </w:rPr>
        <w:t>不得用于兴建楼堂馆所、偿还举借的债务及其他与林业改革发展无关的支出。</w:t>
      </w:r>
      <w:r>
        <w:rPr>
          <w:rFonts w:hint="eastAsia" w:ascii="Times New Roman" w:hAnsi="Times New Roman" w:eastAsia="仿宋_GB2312" w:cs="Times New Roman"/>
          <w:b/>
          <w:bCs/>
          <w:i w:val="0"/>
          <w:iCs w:val="0"/>
          <w:color w:val="auto"/>
          <w:sz w:val="32"/>
          <w:szCs w:val="32"/>
          <w:highlight w:val="none"/>
          <w:u w:val="none" w:color="auto"/>
          <w:lang w:val="en-US" w:eastAsia="zh-CN"/>
        </w:rPr>
        <w:t>二是</w:t>
      </w:r>
      <w:r>
        <w:rPr>
          <w:rFonts w:hint="eastAsia" w:ascii="Times New Roman" w:hAnsi="Times New Roman" w:eastAsia="仿宋_GB2312" w:cs="Times New Roman"/>
          <w:b w:val="0"/>
          <w:bCs w:val="0"/>
          <w:i w:val="0"/>
          <w:iCs w:val="0"/>
          <w:color w:val="auto"/>
          <w:sz w:val="32"/>
          <w:szCs w:val="32"/>
          <w:highlight w:val="none"/>
          <w:u w:val="none" w:color="auto"/>
          <w:lang w:val="en-US" w:eastAsia="zh-CN"/>
        </w:rPr>
        <w:t>与乡村振兴紧密衔接。</w:t>
      </w:r>
      <w:r>
        <w:rPr>
          <w:rFonts w:hint="default" w:ascii="Times New Roman" w:hAnsi="Times New Roman" w:eastAsia="仿宋_GB2312" w:cs="Times New Roman"/>
          <w:i w:val="0"/>
          <w:iCs w:val="0"/>
          <w:color w:val="auto"/>
          <w:sz w:val="32"/>
          <w:szCs w:val="32"/>
          <w:highlight w:val="none"/>
          <w:u w:val="none" w:color="auto"/>
        </w:rPr>
        <w:t>资金中用于支持</w:t>
      </w:r>
      <w:r>
        <w:rPr>
          <w:rFonts w:hint="default" w:ascii="Times New Roman" w:hAnsi="Times New Roman" w:eastAsia="仿宋_GB2312" w:cs="Times New Roman"/>
          <w:i w:val="0"/>
          <w:iCs w:val="0"/>
          <w:color w:val="auto"/>
          <w:sz w:val="32"/>
          <w:szCs w:val="32"/>
          <w:highlight w:val="none"/>
          <w:u w:val="none" w:color="auto"/>
          <w:lang w:eastAsia="zh-CN"/>
        </w:rPr>
        <w:t>脱贫地区</w:t>
      </w:r>
      <w:r>
        <w:rPr>
          <w:rFonts w:hint="default" w:ascii="Times New Roman" w:hAnsi="Times New Roman" w:eastAsia="仿宋_GB2312" w:cs="Times New Roman"/>
          <w:i w:val="0"/>
          <w:iCs w:val="0"/>
          <w:color w:val="auto"/>
          <w:sz w:val="32"/>
          <w:szCs w:val="32"/>
          <w:highlight w:val="none"/>
          <w:u w:val="none" w:color="auto"/>
        </w:rPr>
        <w:t>开展统筹整合使用财政涉农资金试点的部分，按照统筹整合有关规定执行。</w:t>
      </w:r>
      <w:r>
        <w:rPr>
          <w:rFonts w:hint="default" w:ascii="Times New Roman" w:hAnsi="Times New Roman" w:eastAsia="仿宋_GB2312" w:cs="Times New Roman"/>
          <w:b w:val="0"/>
          <w:bCs w:val="0"/>
          <w:i w:val="0"/>
          <w:iCs w:val="0"/>
          <w:color w:val="auto"/>
          <w:sz w:val="32"/>
          <w:szCs w:val="32"/>
          <w:highlight w:val="none"/>
          <w:u w:val="none" w:color="auto"/>
          <w:lang w:val="en-US" w:eastAsia="zh-CN"/>
        </w:rPr>
        <w:t>资金分配结合工作任务和政策因素，过渡期内向脱贫地区及脱贫人口倾斜。</w:t>
      </w:r>
      <w:r>
        <w:rPr>
          <w:rFonts w:hint="eastAsia" w:ascii="Times New Roman" w:hAnsi="Times New Roman" w:eastAsia="仿宋_GB2312" w:cs="Times New Roman"/>
          <w:b/>
          <w:bCs/>
          <w:i w:val="0"/>
          <w:iCs w:val="0"/>
          <w:color w:val="auto"/>
          <w:sz w:val="32"/>
          <w:szCs w:val="32"/>
          <w:highlight w:val="none"/>
          <w:u w:val="none" w:color="auto"/>
          <w:lang w:val="en-US" w:eastAsia="zh-CN"/>
        </w:rPr>
        <w:t>三是</w:t>
      </w:r>
      <w:r>
        <w:rPr>
          <w:rFonts w:hint="eastAsia" w:ascii="Times New Roman" w:hAnsi="Times New Roman" w:eastAsia="仿宋_GB2312" w:cs="Times New Roman"/>
          <w:b w:val="0"/>
          <w:bCs w:val="0"/>
          <w:i w:val="0"/>
          <w:iCs w:val="0"/>
          <w:color w:val="auto"/>
          <w:sz w:val="32"/>
          <w:szCs w:val="32"/>
          <w:highlight w:val="none"/>
          <w:u w:val="none" w:color="auto"/>
          <w:lang w:val="en-US" w:eastAsia="zh-CN"/>
        </w:rPr>
        <w:t>细化了支出方向和标准。</w:t>
      </w:r>
      <w:r>
        <w:rPr>
          <w:rFonts w:hint="eastAsia" w:ascii="仿宋_GB2312" w:hAnsi="仿宋_GB2312" w:eastAsia="仿宋_GB2312" w:cs="仿宋_GB2312"/>
          <w:b w:val="0"/>
          <w:bCs w:val="0"/>
          <w:sz w:val="32"/>
          <w:szCs w:val="32"/>
          <w:lang w:val="en-US" w:eastAsia="zh-CN"/>
        </w:rPr>
        <w:t>林业改革发展资金主要用于</w:t>
      </w:r>
      <w:r>
        <w:rPr>
          <w:rFonts w:hint="eastAsia" w:ascii="仿宋_GB2312" w:hAnsi="仿宋_GB2312" w:eastAsia="仿宋_GB2312" w:cs="仿宋_GB2312"/>
          <w:b w:val="0"/>
          <w:bCs w:val="0"/>
          <w:sz w:val="32"/>
          <w:szCs w:val="32"/>
        </w:rPr>
        <w:t>森林资源管护</w:t>
      </w:r>
      <w:r>
        <w:rPr>
          <w:rFonts w:hint="eastAsia" w:ascii="仿宋_GB2312" w:hAnsi="仿宋_GB2312" w:eastAsia="仿宋_GB2312" w:cs="仿宋_GB2312"/>
          <w:b w:val="0"/>
          <w:bCs w:val="0"/>
          <w:sz w:val="32"/>
          <w:szCs w:val="32"/>
          <w:lang w:eastAsia="zh-CN"/>
        </w:rPr>
        <w:t>、国土绿化、自然保护区、自然公园、湿地、森林防火、有害生物防治、国家重点野生动植物保护、林业和草原科技推广示范、林业草原优势特色产业、草原资源保护修复及监管等。</w:t>
      </w:r>
      <w:r>
        <w:rPr>
          <w:rFonts w:hint="eastAsia" w:ascii="仿宋_GB2312" w:hAnsi="仿宋_GB2312" w:eastAsia="仿宋_GB2312" w:cs="仿宋_GB2312"/>
          <w:b w:val="0"/>
          <w:bCs w:val="0"/>
          <w:sz w:val="32"/>
          <w:szCs w:val="32"/>
          <w:lang w:val="en-US" w:eastAsia="zh-CN"/>
        </w:rPr>
        <w:t>林业草原生态保护恢复资金主要用于</w:t>
      </w:r>
      <w:r>
        <w:rPr>
          <w:rFonts w:hint="eastAsia" w:ascii="仿宋_GB2312" w:hAnsi="仿宋_GB2312" w:eastAsia="仿宋_GB2312" w:cs="仿宋_GB2312"/>
          <w:sz w:val="32"/>
          <w:szCs w:val="32"/>
        </w:rPr>
        <w:t>天然林保护政策性社会性支出、全面停止天然林商业性采伐、草原生态修复治理</w:t>
      </w:r>
      <w:r>
        <w:rPr>
          <w:rFonts w:hint="eastAsia" w:ascii="仿宋_GB2312" w:hAnsi="仿宋_GB2312" w:eastAsia="仿宋_GB2312" w:cs="仿宋_GB2312"/>
          <w:sz w:val="32"/>
          <w:szCs w:val="32"/>
          <w:lang w:eastAsia="zh-CN"/>
        </w:rPr>
        <w:t>、生态护林员、国家公园</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i w:val="0"/>
          <w:iCs w:val="0"/>
          <w:color w:val="auto"/>
          <w:sz w:val="32"/>
          <w:szCs w:val="32"/>
          <w:highlight w:val="none"/>
          <w:u w:val="none" w:color="auto"/>
          <w:lang w:val="en-US" w:eastAsia="zh-CN"/>
        </w:rPr>
        <w:t>项目资金补助标准按照国家相关政策及社会经济发展状态实行动态调整。</w:t>
      </w:r>
      <w:r>
        <w:rPr>
          <w:rFonts w:hint="eastAsia" w:ascii="Times New Roman" w:hAnsi="Times New Roman" w:eastAsia="仿宋_GB2312" w:cs="Times New Roman"/>
          <w:b/>
          <w:bCs/>
          <w:i w:val="0"/>
          <w:iCs w:val="0"/>
          <w:color w:val="auto"/>
          <w:sz w:val="32"/>
          <w:szCs w:val="32"/>
          <w:highlight w:val="none"/>
          <w:u w:val="none" w:color="auto"/>
          <w:lang w:val="en-US" w:eastAsia="zh-CN"/>
        </w:rPr>
        <w:t>四是</w:t>
      </w:r>
      <w:r>
        <w:rPr>
          <w:rFonts w:hint="eastAsia" w:ascii="Times New Roman" w:hAnsi="Times New Roman" w:eastAsia="仿宋_GB2312" w:cs="Times New Roman"/>
          <w:b w:val="0"/>
          <w:bCs w:val="0"/>
          <w:i w:val="0"/>
          <w:iCs w:val="0"/>
          <w:color w:val="auto"/>
          <w:sz w:val="32"/>
          <w:szCs w:val="32"/>
          <w:highlight w:val="none"/>
          <w:u w:val="none" w:color="auto"/>
          <w:lang w:val="en-US" w:eastAsia="zh-CN"/>
        </w:rPr>
        <w:t>以项目库管理为关键。</w:t>
      </w:r>
      <w:r>
        <w:rPr>
          <w:rFonts w:hint="default" w:ascii="Times New Roman" w:hAnsi="Times New Roman" w:eastAsia="仿宋_GB2312" w:cs="Times New Roman"/>
          <w:b w:val="0"/>
          <w:bCs w:val="0"/>
          <w:i w:val="0"/>
          <w:iCs w:val="0"/>
          <w:color w:val="auto"/>
          <w:sz w:val="32"/>
          <w:szCs w:val="32"/>
          <w:highlight w:val="none"/>
          <w:u w:val="none" w:color="auto"/>
          <w:lang w:val="en-US" w:eastAsia="zh-CN"/>
        </w:rPr>
        <w:t>林业改革发展资金</w:t>
      </w:r>
      <w:r>
        <w:rPr>
          <w:rFonts w:hint="eastAsia" w:ascii="Times New Roman" w:hAnsi="Times New Roman" w:eastAsia="仿宋_GB2312" w:cs="Times New Roman"/>
          <w:b w:val="0"/>
          <w:bCs w:val="0"/>
          <w:i w:val="0"/>
          <w:iCs w:val="0"/>
          <w:color w:val="auto"/>
          <w:sz w:val="32"/>
          <w:szCs w:val="32"/>
          <w:highlight w:val="none"/>
          <w:u w:val="none" w:color="auto"/>
          <w:lang w:val="en-US" w:eastAsia="zh-CN"/>
        </w:rPr>
        <w:t>和林业草原生态保护恢复资金</w:t>
      </w:r>
      <w:r>
        <w:rPr>
          <w:rFonts w:hint="default" w:ascii="Times New Roman" w:hAnsi="Times New Roman" w:eastAsia="仿宋_GB2312" w:cs="Times New Roman"/>
          <w:b w:val="0"/>
          <w:bCs w:val="0"/>
          <w:i w:val="0"/>
          <w:iCs w:val="0"/>
          <w:color w:val="auto"/>
          <w:sz w:val="32"/>
          <w:szCs w:val="32"/>
          <w:highlight w:val="none"/>
          <w:u w:val="none" w:color="auto"/>
          <w:lang w:val="en-US" w:eastAsia="zh-CN"/>
        </w:rPr>
        <w:t>采取因素法和项目法相结合的办法分配。采取因素法分配的，其中承担试点或改革任务的可以采取定额补助。</w:t>
      </w:r>
      <w:r>
        <w:rPr>
          <w:rFonts w:hint="default" w:ascii="Times New Roman" w:hAnsi="Times New Roman" w:eastAsia="仿宋_GB2312" w:cs="Times New Roman"/>
          <w:i w:val="0"/>
          <w:iCs w:val="0"/>
          <w:color w:val="auto"/>
          <w:sz w:val="32"/>
          <w:szCs w:val="32"/>
          <w:highlight w:val="none"/>
          <w:u w:val="none" w:color="auto"/>
          <w:lang w:val="en-US" w:eastAsia="zh-CN"/>
        </w:rPr>
        <w:t>采取项目法分配的，由省林业和草原局、</w:t>
      </w:r>
      <w:r>
        <w:rPr>
          <w:rFonts w:hint="eastAsia" w:ascii="Times New Roman" w:hAnsi="Times New Roman" w:eastAsia="仿宋_GB2312" w:cs="Times New Roman"/>
          <w:i w:val="0"/>
          <w:iCs w:val="0"/>
          <w:color w:val="auto"/>
          <w:sz w:val="32"/>
          <w:szCs w:val="32"/>
          <w:highlight w:val="none"/>
          <w:u w:val="none" w:color="auto"/>
          <w:lang w:val="en-US" w:eastAsia="zh-CN"/>
        </w:rPr>
        <w:t>省</w:t>
      </w:r>
      <w:r>
        <w:rPr>
          <w:rFonts w:hint="default" w:ascii="Times New Roman" w:hAnsi="Times New Roman" w:eastAsia="仿宋_GB2312" w:cs="Times New Roman"/>
          <w:i w:val="0"/>
          <w:iCs w:val="0"/>
          <w:color w:val="auto"/>
          <w:sz w:val="32"/>
          <w:szCs w:val="32"/>
          <w:highlight w:val="none"/>
          <w:u w:val="none" w:color="auto"/>
          <w:lang w:val="en-US" w:eastAsia="zh-CN"/>
        </w:rPr>
        <w:t>财政厅在各地上报的已入项目库的项目中择优确定具体项目。对部分重点项目，</w:t>
      </w:r>
      <w:r>
        <w:rPr>
          <w:rFonts w:hint="default" w:ascii="Times New Roman" w:hAnsi="Times New Roman" w:eastAsia="仿宋_GB2312" w:cs="Times New Roman"/>
          <w:color w:val="auto"/>
          <w:sz w:val="32"/>
          <w:szCs w:val="32"/>
          <w:highlight w:val="none"/>
          <w:u w:val="none" w:color="auto"/>
          <w:lang w:val="en-US" w:eastAsia="zh-CN"/>
        </w:rPr>
        <w:t>省林业和草原局、省财政厅可</w:t>
      </w:r>
      <w:r>
        <w:rPr>
          <w:rFonts w:hint="default" w:ascii="Times New Roman" w:hAnsi="Times New Roman" w:eastAsia="仿宋_GB2312" w:cs="Times New Roman"/>
          <w:i w:val="0"/>
          <w:iCs w:val="0"/>
          <w:color w:val="auto"/>
          <w:sz w:val="32"/>
          <w:szCs w:val="32"/>
          <w:highlight w:val="none"/>
          <w:u w:val="none" w:color="auto"/>
          <w:lang w:val="en-US" w:eastAsia="zh-CN"/>
        </w:rPr>
        <w:t>采取竞争性评审等</w:t>
      </w:r>
      <w:r>
        <w:rPr>
          <w:rFonts w:hint="eastAsia" w:ascii="Times New Roman" w:hAnsi="Times New Roman" w:eastAsia="仿宋_GB2312" w:cs="Times New Roman"/>
          <w:i w:val="0"/>
          <w:iCs w:val="0"/>
          <w:color w:val="auto"/>
          <w:sz w:val="32"/>
          <w:szCs w:val="32"/>
          <w:highlight w:val="none"/>
          <w:u w:val="none" w:color="auto"/>
          <w:lang w:val="en-US" w:eastAsia="zh-CN"/>
        </w:rPr>
        <w:t>方式</w:t>
      </w:r>
      <w:r>
        <w:rPr>
          <w:rFonts w:hint="default" w:ascii="Times New Roman" w:hAnsi="Times New Roman" w:eastAsia="仿宋_GB2312" w:cs="Times New Roman"/>
          <w:i w:val="0"/>
          <w:iCs w:val="0"/>
          <w:color w:val="auto"/>
          <w:sz w:val="32"/>
          <w:szCs w:val="32"/>
          <w:highlight w:val="none"/>
          <w:u w:val="none" w:color="auto"/>
          <w:lang w:val="en-US" w:eastAsia="zh-CN"/>
        </w:rPr>
        <w:t>确定。</w:t>
      </w:r>
      <w:r>
        <w:rPr>
          <w:rFonts w:hint="eastAsia" w:ascii="Times New Roman" w:hAnsi="Times New Roman" w:eastAsia="仿宋_GB2312" w:cs="Times New Roman"/>
          <w:b/>
          <w:bCs/>
          <w:i w:val="0"/>
          <w:iCs w:val="0"/>
          <w:color w:val="auto"/>
          <w:sz w:val="32"/>
          <w:szCs w:val="32"/>
          <w:highlight w:val="none"/>
          <w:u w:val="none" w:color="auto"/>
          <w:lang w:val="en-US" w:eastAsia="zh-CN"/>
        </w:rPr>
        <w:t>五是</w:t>
      </w:r>
      <w:r>
        <w:rPr>
          <w:rFonts w:hint="eastAsia" w:ascii="Times New Roman" w:hAnsi="Times New Roman" w:eastAsia="仿宋_GB2312" w:cs="Times New Roman"/>
          <w:b w:val="0"/>
          <w:bCs w:val="0"/>
          <w:i w:val="0"/>
          <w:iCs w:val="0"/>
          <w:color w:val="auto"/>
          <w:sz w:val="32"/>
          <w:szCs w:val="32"/>
          <w:highlight w:val="none"/>
          <w:u w:val="none" w:color="auto"/>
          <w:lang w:val="en-US" w:eastAsia="zh-CN"/>
        </w:rPr>
        <w:t>以绩效目标管理为核心。</w:t>
      </w:r>
      <w:r>
        <w:rPr>
          <w:rFonts w:hint="eastAsia" w:ascii="仿宋_GB2312" w:hAnsi="仿宋_GB2312" w:eastAsia="仿宋_GB2312" w:cs="仿宋_GB2312"/>
          <w:kern w:val="2"/>
          <w:sz w:val="32"/>
          <w:szCs w:val="32"/>
          <w:lang w:val="en-US" w:eastAsia="zh-CN" w:bidi="ar"/>
        </w:rPr>
        <w:t>进一步强化绩效管理主体责任，全面实施预算绩效管理，强化事前环节、事中环节、</w:t>
      </w:r>
      <w:r>
        <w:rPr>
          <w:rFonts w:hint="eastAsia" w:ascii="仿宋_GB2312" w:hAnsi="仿宋_GB2312" w:eastAsia="仿宋_GB2312" w:cs="仿宋_GB2312"/>
          <w:sz w:val="32"/>
          <w:szCs w:val="32"/>
          <w:lang w:eastAsia="zh-CN"/>
        </w:rPr>
        <w:t>事后环节，</w:t>
      </w:r>
      <w:r>
        <w:rPr>
          <w:rFonts w:hint="eastAsia" w:ascii="仿宋_GB2312" w:hAnsi="仿宋_GB2312" w:eastAsia="仿宋_GB2312" w:cs="仿宋_GB2312"/>
          <w:kern w:val="2"/>
          <w:sz w:val="32"/>
          <w:szCs w:val="32"/>
          <w:lang w:val="en-US" w:eastAsia="zh-CN" w:bidi="ar"/>
        </w:rPr>
        <w:t>聚焦全过程管理，高效推动林草项目建设。</w:t>
      </w:r>
    </w:p>
    <w:p>
      <w:pPr>
        <w:pStyle w:val="2"/>
        <w:keepNext w:val="0"/>
        <w:keepLines w:val="0"/>
        <w:pageBreakBefore w:val="0"/>
        <w:widowControl w:val="0"/>
        <w:kinsoku/>
        <w:wordWrap/>
        <w:overflowPunct/>
        <w:topLinePunct w:val="0"/>
        <w:autoSpaceDE/>
        <w:autoSpaceDN/>
        <w:bidi w:val="0"/>
        <w:adjustRightInd w:val="0"/>
        <w:snapToGrid w:val="0"/>
        <w:spacing w:line="570" w:lineRule="exact"/>
        <w:ind w:firstLine="640"/>
        <w:textAlignment w:val="auto"/>
        <w:rPr>
          <w:rFonts w:hint="eastAsia" w:ascii="黑体" w:hAnsi="黑体" w:eastAsia="黑体" w:cs="黑体"/>
          <w:b/>
          <w:bCs/>
          <w:sz w:val="32"/>
          <w:szCs w:val="32"/>
          <w:lang w:val="en-US" w:eastAsia="zh-CN"/>
        </w:rPr>
      </w:pPr>
    </w:p>
    <w:sectPr>
      <w:footerReference r:id="rId3" w:type="default"/>
      <w:pgSz w:w="11906" w:h="16838"/>
      <w:pgMar w:top="1701"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-113665</wp:posOffset>
              </wp:positionV>
              <wp:extent cx="643255" cy="30734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643255" cy="3073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  \* MERGEFORMAT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w:t>
                          </w:r>
                          <w:r>
                            <w:rPr>
                              <w:rFonts w:hint="eastAsia" w:asciiTheme="majorEastAsia" w:hAnsiTheme="majorEastAsia" w:eastAsiaTheme="majorEastAsia" w:cstheme="majorEastAsia"/>
                              <w:sz w:val="24"/>
                            </w:rPr>
                            <w:fldChar w:fldCharType="end"/>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8.95pt;height:24.2pt;width:50.65pt;mso-position-horizontal:center;mso-position-horizontal-relative:margin;z-index:251659264;mso-width-relative:page;mso-height-relative:page;" filled="f" stroked="f" coordsize="21600,21600" o:gfxdata="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AXpqXDVAAAABwEAAA8AAAAAAAAAAQAgAAAAOAAAAGRycy9kb3ducmV2LnhtbFBLAQIU&#10;ABQAAAAIAIdO4kAUszweGQIAABkEAAAOAAAAAAAAAAEAIAAAADoBAABkcnMvZTJvRG9jLnhtbFBL&#10;BQYAAAAABgAGAFkBAADFBQAAAAA=&#10;">
              <v:fill on="f" focussize="0,0"/>
              <v:stroke on="f" weight="0.5pt"/>
              <v:imagedata o:title=""/>
              <o:lock v:ext="edit" aspectratio="f"/>
              <v:textbox inset="0mm,0mm,0mm,0mm">
                <w:txbxContent>
                  <w:p>
                    <w:pPr>
                      <w:snapToGrid w:val="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  \* MERGEFORMAT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w:t>
                    </w:r>
                    <w:r>
                      <w:rPr>
                        <w:rFonts w:hint="eastAsia" w:asciiTheme="majorEastAsia" w:hAnsiTheme="majorEastAsia" w:eastAsiaTheme="majorEastAsia" w:cstheme="majorEastAsia"/>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1E079C"/>
    <w:rsid w:val="085E7C71"/>
    <w:rsid w:val="1F704472"/>
    <w:rsid w:val="242F0EAA"/>
    <w:rsid w:val="251E079C"/>
    <w:rsid w:val="2B864286"/>
    <w:rsid w:val="2EEA7DAC"/>
    <w:rsid w:val="31092ED5"/>
    <w:rsid w:val="32412AFF"/>
    <w:rsid w:val="32D52CC8"/>
    <w:rsid w:val="5A5A60CD"/>
    <w:rsid w:val="5C7F997A"/>
    <w:rsid w:val="5F5428B1"/>
    <w:rsid w:val="6A773AFC"/>
    <w:rsid w:val="77873556"/>
    <w:rsid w:val="BECF1A81"/>
    <w:rsid w:val="FFD6B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2021-08-17T17:16:00Z</dcterms:created>
  <dc:creator>赵海龙</dc:creator>
  <cp:lastModifiedBy>qhcz</cp:lastModifiedBy>
  <cp:lastPrinted>2021-12-31T10:16:00Z</cp:lastPrinted>
  <dcterms:modified xsi:type="dcterms:W3CDTF">2022-01-13T17:07:59Z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B346FBA165534C0E84762D4E8F366B76</vt:lpwstr>
  </property>
</Properties>
</file>